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jc w:val="center"/>
      </w:pPr>
      <w:r>
        <w:t>202</w:t>
      </w:r>
      <w:r>
        <w:rPr>
          <w:rFonts w:hint="eastAsia"/>
          <w:lang w:val="en-US" w:eastAsia="zh-CN"/>
        </w:rPr>
        <w:t>2</w:t>
      </w:r>
      <w:r>
        <w:rPr>
          <w:rFonts w:hint="eastAsia"/>
        </w:rPr>
        <w:t>年乐至县项目支出绩效自评报告</w:t>
      </w:r>
    </w:p>
    <w:p>
      <w:pPr>
        <w:pStyle w:val="3"/>
        <w:bidi w:val="0"/>
        <w:jc w:val="center"/>
        <w:rPr>
          <w:rFonts w:hint="eastAsia"/>
        </w:rPr>
      </w:pPr>
      <w:r>
        <w:rPr>
          <w:rFonts w:hint="eastAsia"/>
        </w:rPr>
        <w:t>（</w:t>
      </w:r>
      <w:r>
        <w:rPr>
          <w:rFonts w:hint="eastAsia"/>
          <w:lang w:val="en-US" w:eastAsia="zh-CN"/>
        </w:rPr>
        <w:t>专项工作经费</w:t>
      </w:r>
      <w:r>
        <w:rPr>
          <w:rFonts w:hint="eastAsia"/>
        </w:rPr>
        <w:t>）</w:t>
      </w:r>
    </w:p>
    <w:p>
      <w:pPr>
        <w:spacing w:line="580" w:lineRule="exact"/>
        <w:jc w:val="center"/>
        <w:rPr>
          <w:rFonts w:hint="eastAsia" w:eastAsia="方正楷体简体"/>
          <w:b/>
          <w:sz w:val="32"/>
          <w:szCs w:val="32"/>
        </w:rPr>
      </w:pPr>
    </w:p>
    <w:p>
      <w:pPr>
        <w:spacing w:line="580" w:lineRule="exact"/>
        <w:ind w:firstLine="640" w:firstLineChars="200"/>
        <w:rPr>
          <w:rFonts w:hint="eastAsia" w:eastAsia="方正黑体简体"/>
          <w:sz w:val="32"/>
          <w:szCs w:val="32"/>
        </w:rPr>
      </w:pPr>
      <w:r>
        <w:rPr>
          <w:rFonts w:hint="eastAsia" w:eastAsia="仿宋_GB2312" w:cs="Times New Roman"/>
          <w:bCs/>
          <w:sz w:val="32"/>
          <w:szCs w:val="32"/>
          <w:lang w:val="en-US" w:eastAsia="zh-CN"/>
        </w:rPr>
        <w:t>我会对2022年度财政资金项目支出绩效进行了自查自评，现将自评结果报告如下：</w:t>
      </w: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hint="default" w:ascii="Times New Roman" w:hAnsi="Times New Roman" w:eastAsia="方正楷体简体" w:cs="Times New Roman"/>
          <w:b/>
          <w:sz w:val="32"/>
          <w:szCs w:val="32"/>
        </w:rPr>
      </w:pPr>
      <w:r>
        <w:rPr>
          <w:rFonts w:hint="default" w:ascii="Times New Roman" w:hAnsi="Times New Roman" w:eastAsia="方正楷体简体" w:cs="Times New Roman"/>
          <w:b/>
          <w:sz w:val="32"/>
          <w:szCs w:val="32"/>
        </w:rPr>
        <w:t>（一）概况</w:t>
      </w:r>
    </w:p>
    <w:p>
      <w:pPr>
        <w:spacing w:line="580" w:lineRule="exact"/>
        <w:ind w:firstLine="643" w:firstLineChars="200"/>
        <w:rPr>
          <w:rFonts w:hint="default" w:ascii="Times New Roman" w:hAnsi="Times New Roman" w:eastAsia="方正仿宋简体" w:cs="Times New Roman"/>
          <w:b/>
          <w:bCs w:val="0"/>
          <w:sz w:val="32"/>
          <w:szCs w:val="32"/>
        </w:rPr>
      </w:pPr>
      <w:r>
        <w:rPr>
          <w:rFonts w:hint="default" w:ascii="Times New Roman" w:hAnsi="Times New Roman" w:eastAsia="方正仿宋简体" w:cs="Times New Roman"/>
          <w:b/>
          <w:bCs w:val="0"/>
          <w:sz w:val="32"/>
          <w:szCs w:val="32"/>
        </w:rPr>
        <w:t>1.立项背景及目的</w:t>
      </w:r>
    </w:p>
    <w:p>
      <w:pPr>
        <w:spacing w:line="580" w:lineRule="exact"/>
        <w:ind w:firstLine="640" w:firstLineChars="200"/>
        <w:rPr>
          <w:rFonts w:hint="default" w:ascii="Times New Roman" w:hAnsi="Times New Roman" w:eastAsia="仿宋_GB2312" w:cs="Times New Roman"/>
          <w:bCs/>
          <w:sz w:val="32"/>
          <w:szCs w:val="32"/>
          <w:lang w:val="en-US" w:eastAsia="zh-CN"/>
        </w:rPr>
      </w:pPr>
      <w:r>
        <w:rPr>
          <w:rFonts w:hint="eastAsia" w:eastAsia="仿宋_GB2312" w:cs="Times New Roman"/>
          <w:bCs/>
          <w:sz w:val="32"/>
          <w:szCs w:val="32"/>
          <w:lang w:val="en-US" w:eastAsia="zh-CN"/>
        </w:rPr>
        <w:t>根据中共乐至县委办公室《关于印发&lt;乐至县红十字会机关职能配置、内设机构和人员编制规定&gt;的通知》（乐委办发</w:t>
      </w:r>
      <w:r>
        <w:rPr>
          <w:rFonts w:hint="eastAsia" w:ascii="仿宋" w:hAnsi="仿宋" w:eastAsia="仿宋" w:cs="仿宋"/>
          <w:bCs/>
          <w:sz w:val="32"/>
          <w:szCs w:val="32"/>
          <w:lang w:val="en-US" w:eastAsia="zh-CN"/>
        </w:rPr>
        <w:t>〔2021〕35号</w:t>
      </w:r>
      <w:r>
        <w:rPr>
          <w:rFonts w:hint="eastAsia" w:eastAsia="仿宋_GB2312" w:cs="Times New Roman"/>
          <w:bCs/>
          <w:sz w:val="32"/>
          <w:szCs w:val="32"/>
          <w:lang w:val="en-US" w:eastAsia="zh-CN"/>
        </w:rPr>
        <w:t>）文件精神，成立乐至县红十字会。项目为保障乐至县红十字会第四届会员代表大会换届选举大会顺利召开；保障县红十字会机构正常运行；保障“三救三献”工作持续开展。</w:t>
      </w:r>
    </w:p>
    <w:p>
      <w:pPr>
        <w:spacing w:line="580" w:lineRule="exact"/>
        <w:ind w:firstLine="643" w:firstLineChars="200"/>
        <w:rPr>
          <w:rFonts w:hint="default" w:ascii="Times New Roman" w:hAnsi="Times New Roman" w:eastAsia="方正仿宋简体" w:cs="Times New Roman"/>
          <w:b/>
          <w:bCs w:val="0"/>
          <w:sz w:val="32"/>
          <w:szCs w:val="32"/>
        </w:rPr>
      </w:pPr>
      <w:r>
        <w:rPr>
          <w:rFonts w:hint="default" w:ascii="Times New Roman" w:hAnsi="Times New Roman" w:eastAsia="方正仿宋简体" w:cs="Times New Roman"/>
          <w:b/>
          <w:bCs w:val="0"/>
          <w:sz w:val="32"/>
          <w:szCs w:val="32"/>
        </w:rPr>
        <w:t>2.预算资金来源及使用情况</w:t>
      </w:r>
    </w:p>
    <w:p>
      <w:pPr>
        <w:spacing w:line="580" w:lineRule="exact"/>
        <w:ind w:firstLine="640" w:firstLineChars="200"/>
        <w:rPr>
          <w:rFonts w:hint="default" w:ascii="Times New Roman" w:hAnsi="Times New Roman" w:eastAsia="仿宋_GB2312" w:cs="Times New Roman"/>
          <w:bCs/>
          <w:sz w:val="32"/>
          <w:szCs w:val="32"/>
          <w:lang w:val="en-US" w:eastAsia="zh-CN"/>
        </w:rPr>
      </w:pPr>
      <w:r>
        <w:rPr>
          <w:rFonts w:hint="default" w:ascii="Times New Roman" w:hAnsi="Times New Roman" w:eastAsia="仿宋_GB2312" w:cs="Times New Roman"/>
          <w:bCs/>
          <w:sz w:val="32"/>
          <w:szCs w:val="32"/>
          <w:lang w:eastAsia="zh-CN"/>
        </w:rPr>
        <w:t>项目资金为财政资金，</w:t>
      </w:r>
      <w:r>
        <w:rPr>
          <w:rFonts w:hint="eastAsia" w:eastAsia="仿宋_GB2312" w:cs="Times New Roman"/>
          <w:bCs/>
          <w:sz w:val="32"/>
          <w:szCs w:val="32"/>
          <w:lang w:val="en-US" w:eastAsia="zh-CN"/>
        </w:rPr>
        <w:t>主要用于乐至县红十字会第四届会员代表大会暨换届会议会议费及乐至县红十字会开办办公设备、办公用品购置等。</w:t>
      </w:r>
    </w:p>
    <w:p>
      <w:pPr>
        <w:spacing w:line="580" w:lineRule="exact"/>
        <w:ind w:firstLine="643" w:firstLineChars="200"/>
        <w:rPr>
          <w:rFonts w:hint="default" w:ascii="Times New Roman" w:hAnsi="Times New Roman" w:eastAsia="方正仿宋简体" w:cs="Times New Roman"/>
          <w:b/>
          <w:bCs w:val="0"/>
          <w:sz w:val="32"/>
          <w:szCs w:val="32"/>
        </w:rPr>
      </w:pPr>
      <w:r>
        <w:rPr>
          <w:rFonts w:hint="default" w:ascii="Times New Roman" w:hAnsi="Times New Roman" w:eastAsia="方正仿宋简体" w:cs="Times New Roman"/>
          <w:b/>
          <w:bCs w:val="0"/>
          <w:sz w:val="32"/>
          <w:szCs w:val="32"/>
        </w:rPr>
        <w:t>3.实施情况（项目完成情况）</w:t>
      </w:r>
    </w:p>
    <w:p>
      <w:pPr>
        <w:spacing w:line="580" w:lineRule="exact"/>
        <w:ind w:firstLine="640" w:firstLineChars="200"/>
        <w:rPr>
          <w:rFonts w:hint="eastAsia" w:eastAsia="仿宋_GB2312" w:cs="Times New Roman"/>
          <w:bCs/>
          <w:sz w:val="32"/>
          <w:szCs w:val="32"/>
          <w:lang w:val="en-US" w:eastAsia="zh-CN"/>
        </w:rPr>
      </w:pPr>
      <w:r>
        <w:rPr>
          <w:rFonts w:hint="eastAsia" w:eastAsia="仿宋_GB2312" w:cs="Times New Roman"/>
          <w:bCs/>
          <w:sz w:val="32"/>
          <w:szCs w:val="32"/>
          <w:lang w:eastAsia="zh-CN"/>
        </w:rPr>
        <w:t>（</w:t>
      </w:r>
      <w:r>
        <w:rPr>
          <w:rFonts w:hint="eastAsia" w:eastAsia="仿宋_GB2312" w:cs="Times New Roman"/>
          <w:bCs/>
          <w:sz w:val="32"/>
          <w:szCs w:val="32"/>
          <w:lang w:val="en-US" w:eastAsia="zh-CN"/>
        </w:rPr>
        <w:t>1</w:t>
      </w:r>
      <w:r>
        <w:rPr>
          <w:rFonts w:hint="eastAsia" w:eastAsia="仿宋_GB2312" w:cs="Times New Roman"/>
          <w:bCs/>
          <w:sz w:val="32"/>
          <w:szCs w:val="32"/>
          <w:lang w:eastAsia="zh-CN"/>
        </w:rPr>
        <w:t>）</w:t>
      </w:r>
      <w:r>
        <w:rPr>
          <w:rFonts w:hint="eastAsia" w:ascii="Times New Roman" w:hAnsi="Times New Roman" w:eastAsia="仿宋_GB2312" w:cs="Times New Roman"/>
          <w:bCs/>
          <w:sz w:val="32"/>
          <w:szCs w:val="32"/>
          <w:lang w:val="en-US" w:eastAsia="zh-CN"/>
        </w:rPr>
        <w:t>全面完成红会换届。会议召开时长，参会代表、嘉宾及志愿者人数，选举产生代表等程序与预算一致。红十字会员换届经费指标下达3万元，全年使用2.98万元。</w:t>
      </w:r>
    </w:p>
    <w:p>
      <w:pPr>
        <w:spacing w:line="580" w:lineRule="exact"/>
        <w:ind w:firstLine="640" w:firstLineChars="200"/>
        <w:rPr>
          <w:rFonts w:hint="default" w:eastAsia="仿宋_GB2312" w:cs="Times New Roman"/>
          <w:bCs/>
          <w:sz w:val="32"/>
          <w:szCs w:val="32"/>
          <w:lang w:val="en-US" w:eastAsia="zh-CN"/>
        </w:rPr>
      </w:pPr>
      <w:r>
        <w:rPr>
          <w:rFonts w:hint="eastAsia" w:eastAsia="仿宋_GB2312" w:cs="Times New Roman"/>
          <w:bCs/>
          <w:sz w:val="32"/>
          <w:szCs w:val="32"/>
          <w:lang w:val="en-US" w:eastAsia="zh-CN"/>
        </w:rPr>
        <w:t>（2）落实办公场地及办公设备。落实了交易中心6楼4间办公室为乐至县红十字会办公场所，并逐步完成办公桌椅、电脑、打印设备、空调以及书柜、沙发等办公用品配备，进一步改善了办公条件。当年度指标下达9万元，办公设备购置使用6.99万元，剩余部分用于机构运转水电、差旅等。</w:t>
      </w:r>
    </w:p>
    <w:p>
      <w:pPr>
        <w:spacing w:line="580" w:lineRule="exact"/>
        <w:ind w:firstLine="643" w:firstLineChars="200"/>
        <w:rPr>
          <w:rFonts w:hint="default" w:ascii="Times New Roman" w:hAnsi="Times New Roman" w:eastAsia="方正仿宋简体" w:cs="Times New Roman"/>
          <w:b/>
          <w:bCs w:val="0"/>
          <w:sz w:val="32"/>
          <w:szCs w:val="32"/>
        </w:rPr>
      </w:pPr>
      <w:r>
        <w:rPr>
          <w:rFonts w:hint="default" w:ascii="Times New Roman" w:hAnsi="Times New Roman" w:eastAsia="方正仿宋简体" w:cs="Times New Roman"/>
          <w:b/>
          <w:bCs w:val="0"/>
          <w:sz w:val="32"/>
          <w:szCs w:val="32"/>
        </w:rPr>
        <w:t>4.组织及管理（项目组织、管理流程及实际执行情况）</w:t>
      </w:r>
    </w:p>
    <w:p>
      <w:pPr>
        <w:spacing w:line="580" w:lineRule="exact"/>
        <w:ind w:firstLine="640" w:firstLineChars="200"/>
        <w:rPr>
          <w:rFonts w:hint="default" w:ascii="Times New Roman" w:hAnsi="Times New Roman" w:eastAsia="仿宋_GB2312" w:cs="Times New Roman"/>
          <w:bCs/>
          <w:sz w:val="32"/>
          <w:szCs w:val="32"/>
          <w:lang w:eastAsia="zh-CN"/>
        </w:rPr>
      </w:pPr>
      <w:r>
        <w:rPr>
          <w:rFonts w:hint="eastAsia" w:ascii="Times New Roman" w:hAnsi="Times New Roman" w:eastAsia="仿宋_GB2312" w:cs="Times New Roman"/>
          <w:bCs/>
          <w:sz w:val="32"/>
          <w:szCs w:val="32"/>
          <w:lang w:val="en-US" w:eastAsia="zh-CN"/>
        </w:rPr>
        <w:t>在专项资金组织管理上，我会严格按照相关规定执行。项目经费使用有主要领导、分管领导、财务人员。项目经费的开支管理及费用报销均严格执行相关制度规定，坚持勤俭节约，确保资金的规范使用与安全。严格执行项目预决算制度。年度计划、重大支出等重大事项均经过会长办公会（扩大会）集体讨论决定。</w:t>
      </w:r>
    </w:p>
    <w:p>
      <w:pPr>
        <w:spacing w:line="580" w:lineRule="exact"/>
        <w:ind w:firstLine="643" w:firstLineChars="200"/>
        <w:rPr>
          <w:rFonts w:hint="default" w:ascii="Times New Roman" w:hAnsi="Times New Roman" w:eastAsia="方正楷体简体" w:cs="Times New Roman"/>
          <w:b/>
          <w:sz w:val="32"/>
          <w:szCs w:val="32"/>
        </w:rPr>
      </w:pPr>
      <w:r>
        <w:rPr>
          <w:rFonts w:hint="default" w:ascii="Times New Roman" w:hAnsi="Times New Roman" w:eastAsia="方正楷体简体" w:cs="Times New Roman"/>
          <w:b/>
          <w:sz w:val="32"/>
          <w:szCs w:val="32"/>
        </w:rPr>
        <w:t>（二）绩效目标</w:t>
      </w:r>
    </w:p>
    <w:p>
      <w:pPr>
        <w:spacing w:line="580" w:lineRule="exact"/>
        <w:ind w:firstLine="640" w:firstLineChars="200"/>
        <w:rPr>
          <w:rFonts w:hint="eastAsia" w:eastAsia="仿宋_GB2312" w:cs="Times New Roman"/>
          <w:bCs/>
          <w:sz w:val="32"/>
          <w:szCs w:val="32"/>
          <w:lang w:val="en-US" w:eastAsia="zh-CN"/>
        </w:rPr>
      </w:pPr>
      <w:r>
        <w:rPr>
          <w:rFonts w:hint="eastAsia" w:eastAsia="仿宋_GB2312" w:cs="Times New Roman"/>
          <w:bCs/>
          <w:sz w:val="32"/>
          <w:szCs w:val="32"/>
          <w:lang w:val="en-US" w:eastAsia="zh-CN"/>
        </w:rPr>
        <w:t>通过项目实施，一是完成</w:t>
      </w:r>
      <w:r>
        <w:rPr>
          <w:rFonts w:hint="eastAsia" w:ascii="Times New Roman" w:hAnsi="Times New Roman" w:eastAsia="仿宋_GB2312" w:cs="Times New Roman"/>
          <w:bCs/>
          <w:sz w:val="32"/>
          <w:szCs w:val="32"/>
          <w:lang w:val="en-US" w:eastAsia="zh-CN"/>
        </w:rPr>
        <w:t>乐至县红十字会第四次会员代表大会的召开，审议了《乐至县红十字事业发展规划（2021-2025）》，明确了“十四五”努力方向；会议选举产生了理事会、执委会及监事会成员，顺利完成换届选举各项工作。二是</w:t>
      </w:r>
      <w:r>
        <w:rPr>
          <w:rFonts w:hint="eastAsia" w:eastAsia="仿宋_GB2312" w:cs="Times New Roman"/>
          <w:bCs/>
          <w:sz w:val="32"/>
          <w:szCs w:val="32"/>
          <w:lang w:val="en-US" w:eastAsia="zh-CN"/>
        </w:rPr>
        <w:t>落实办公场地及办公设备，完成办公桌椅、电脑、打印设备、空调以及书柜、沙发等办公用品配备，保障了日常工作的正常开展。</w:t>
      </w:r>
    </w:p>
    <w:p>
      <w:pPr>
        <w:spacing w:line="580" w:lineRule="exact"/>
        <w:ind w:firstLine="640" w:firstLineChars="200"/>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二、绩效自评工作情况</w:t>
      </w:r>
    </w:p>
    <w:p>
      <w:pPr>
        <w:spacing w:line="580" w:lineRule="exact"/>
        <w:ind w:firstLine="643" w:firstLineChars="200"/>
        <w:rPr>
          <w:rFonts w:hint="default" w:ascii="Times New Roman" w:hAnsi="Times New Roman" w:eastAsia="方正楷体简体" w:cs="Times New Roman"/>
          <w:b/>
          <w:sz w:val="32"/>
          <w:szCs w:val="32"/>
        </w:rPr>
      </w:pPr>
      <w:r>
        <w:rPr>
          <w:rFonts w:hint="default" w:ascii="Times New Roman" w:hAnsi="Times New Roman" w:eastAsia="方正楷体简体" w:cs="Times New Roman"/>
          <w:b/>
          <w:sz w:val="32"/>
          <w:szCs w:val="32"/>
        </w:rPr>
        <w:t>（一）自评工作组织领导</w:t>
      </w:r>
    </w:p>
    <w:p>
      <w:pPr>
        <w:spacing w:line="580" w:lineRule="exact"/>
        <w:ind w:firstLine="640" w:firstLineChars="200"/>
        <w:rPr>
          <w:rFonts w:hint="default" w:ascii="Times New Roman" w:hAnsi="Times New Roman" w:eastAsia="仿宋_GB2312" w:cs="Times New Roman"/>
          <w:bCs/>
          <w:sz w:val="32"/>
          <w:szCs w:val="32"/>
          <w:lang w:eastAsia="zh-CN"/>
        </w:rPr>
      </w:pPr>
      <w:r>
        <w:rPr>
          <w:rFonts w:hint="default" w:ascii="Times New Roman" w:hAnsi="Times New Roman" w:eastAsia="仿宋_GB2312" w:cs="Times New Roman"/>
          <w:bCs/>
          <w:sz w:val="32"/>
          <w:szCs w:val="32"/>
          <w:lang w:val="en-US" w:eastAsia="zh-CN"/>
        </w:rPr>
        <w:t>根据乐至县财政局印发的《</w:t>
      </w:r>
      <w:r>
        <w:rPr>
          <w:rFonts w:hint="eastAsia" w:eastAsia="仿宋_GB2312" w:cs="Times New Roman"/>
          <w:bCs/>
          <w:sz w:val="32"/>
          <w:szCs w:val="32"/>
          <w:lang w:val="en-US" w:eastAsia="zh-CN"/>
        </w:rPr>
        <w:t>关于开展2022年度财政支出绩效自评工作的通知</w:t>
      </w:r>
      <w:r>
        <w:rPr>
          <w:rFonts w:hint="default" w:ascii="Times New Roman" w:hAnsi="Times New Roman" w:eastAsia="仿宋_GB2312" w:cs="Times New Roman"/>
          <w:bCs/>
          <w:sz w:val="32"/>
          <w:szCs w:val="32"/>
          <w:lang w:val="en-US" w:eastAsia="zh-CN"/>
        </w:rPr>
        <w:t>》（乐财</w:t>
      </w:r>
      <w:r>
        <w:rPr>
          <w:rFonts w:hint="eastAsia" w:eastAsia="仿宋_GB2312" w:cs="Times New Roman"/>
          <w:bCs/>
          <w:sz w:val="32"/>
          <w:szCs w:val="32"/>
          <w:lang w:val="en-US" w:eastAsia="zh-CN"/>
        </w:rPr>
        <w:t>监督绩效</w:t>
      </w:r>
      <w:r>
        <w:rPr>
          <w:rFonts w:hint="default" w:ascii="Times New Roman" w:hAnsi="Times New Roman" w:eastAsia="仿宋_GB2312" w:cs="Times New Roman"/>
          <w:bCs/>
          <w:sz w:val="32"/>
          <w:szCs w:val="32"/>
          <w:lang w:val="en-US" w:eastAsia="zh-CN"/>
        </w:rPr>
        <w:t>〔202</w:t>
      </w:r>
      <w:r>
        <w:rPr>
          <w:rFonts w:hint="eastAsia" w:eastAsia="仿宋_GB2312" w:cs="Times New Roman"/>
          <w:bCs/>
          <w:sz w:val="32"/>
          <w:szCs w:val="32"/>
          <w:lang w:val="en-US" w:eastAsia="zh-CN"/>
        </w:rPr>
        <w:t>3</w:t>
      </w:r>
      <w:r>
        <w:rPr>
          <w:rFonts w:hint="default" w:ascii="Times New Roman" w:hAnsi="Times New Roman" w:eastAsia="仿宋_GB2312" w:cs="Times New Roman"/>
          <w:bCs/>
          <w:sz w:val="32"/>
          <w:szCs w:val="32"/>
          <w:lang w:val="en-US" w:eastAsia="zh-CN"/>
        </w:rPr>
        <w:t>〕</w:t>
      </w:r>
      <w:r>
        <w:rPr>
          <w:rFonts w:hint="eastAsia" w:eastAsia="仿宋_GB2312" w:cs="Times New Roman"/>
          <w:bCs/>
          <w:sz w:val="32"/>
          <w:szCs w:val="32"/>
          <w:lang w:val="en-US" w:eastAsia="zh-CN"/>
        </w:rPr>
        <w:t>14</w:t>
      </w:r>
      <w:r>
        <w:rPr>
          <w:rFonts w:hint="default" w:ascii="Times New Roman" w:hAnsi="Times New Roman" w:eastAsia="仿宋_GB2312" w:cs="Times New Roman"/>
          <w:bCs/>
          <w:sz w:val="32"/>
          <w:szCs w:val="32"/>
          <w:lang w:val="en-US" w:eastAsia="zh-CN"/>
        </w:rPr>
        <w:t>号）文件的要求，组织学习了相关绩效管理办法，并成立了专门的绩效管理工作小组，负责对全年的项目绩效运行进行管理和自评。</w:t>
      </w:r>
    </w:p>
    <w:p>
      <w:pPr>
        <w:numPr>
          <w:ilvl w:val="0"/>
          <w:numId w:val="1"/>
        </w:numPr>
        <w:spacing w:line="580" w:lineRule="exact"/>
        <w:ind w:firstLine="643" w:firstLineChars="200"/>
        <w:rPr>
          <w:rFonts w:hint="default" w:ascii="Times New Roman" w:hAnsi="Times New Roman" w:eastAsia="方正楷体简体" w:cs="Times New Roman"/>
          <w:b/>
          <w:sz w:val="32"/>
          <w:szCs w:val="32"/>
        </w:rPr>
      </w:pPr>
      <w:r>
        <w:rPr>
          <w:rFonts w:hint="default" w:ascii="Times New Roman" w:hAnsi="Times New Roman" w:eastAsia="方正楷体简体" w:cs="Times New Roman"/>
          <w:b/>
          <w:sz w:val="32"/>
          <w:szCs w:val="32"/>
        </w:rPr>
        <w:t>自评方式、方法、重点等</w:t>
      </w:r>
    </w:p>
    <w:p>
      <w:pPr>
        <w:numPr>
          <w:ilvl w:val="0"/>
          <w:numId w:val="0"/>
        </w:numPr>
        <w:spacing w:line="580" w:lineRule="exact"/>
        <w:rPr>
          <w:rFonts w:hint="default" w:ascii="Times New Roman" w:hAnsi="Times New Roman" w:eastAsia="仿宋_GB2312" w:cs="Times New Roman"/>
          <w:bCs/>
          <w:sz w:val="32"/>
          <w:szCs w:val="32"/>
          <w:lang w:val="en-US" w:eastAsia="zh-CN"/>
        </w:rPr>
      </w:pPr>
      <w:r>
        <w:rPr>
          <w:rFonts w:hint="default" w:ascii="Times New Roman" w:hAnsi="Times New Roman" w:eastAsia="方正楷体简体" w:cs="Times New Roman"/>
          <w:b/>
          <w:sz w:val="32"/>
          <w:szCs w:val="32"/>
          <w:lang w:val="en-US" w:eastAsia="zh-CN"/>
        </w:rPr>
        <w:t xml:space="preserve">    </w:t>
      </w:r>
      <w:r>
        <w:rPr>
          <w:rFonts w:hint="default" w:ascii="Times New Roman" w:hAnsi="Times New Roman" w:eastAsia="仿宋_GB2312" w:cs="Times New Roman"/>
          <w:bCs/>
          <w:sz w:val="32"/>
          <w:szCs w:val="32"/>
          <w:lang w:val="en-US" w:eastAsia="zh-CN"/>
        </w:rPr>
        <w:t>由</w:t>
      </w:r>
      <w:r>
        <w:rPr>
          <w:rFonts w:hint="eastAsia" w:eastAsia="仿宋_GB2312" w:cs="Times New Roman"/>
          <w:bCs/>
          <w:sz w:val="32"/>
          <w:szCs w:val="32"/>
          <w:lang w:val="en-US" w:eastAsia="zh-CN"/>
        </w:rPr>
        <w:t>我会</w:t>
      </w:r>
      <w:r>
        <w:rPr>
          <w:rFonts w:hint="default" w:ascii="Times New Roman" w:hAnsi="Times New Roman" w:eastAsia="仿宋_GB2312" w:cs="Times New Roman"/>
          <w:bCs/>
          <w:sz w:val="32"/>
          <w:szCs w:val="32"/>
          <w:lang w:val="en-US" w:eastAsia="zh-CN"/>
        </w:rPr>
        <w:t>成立</w:t>
      </w:r>
      <w:r>
        <w:rPr>
          <w:rFonts w:hint="eastAsia" w:eastAsia="仿宋_GB2312" w:cs="Times New Roman"/>
          <w:bCs/>
          <w:sz w:val="32"/>
          <w:szCs w:val="32"/>
          <w:lang w:val="en-US" w:eastAsia="zh-CN"/>
        </w:rPr>
        <w:t>的</w:t>
      </w:r>
      <w:r>
        <w:rPr>
          <w:rFonts w:hint="default" w:ascii="Times New Roman" w:hAnsi="Times New Roman" w:eastAsia="仿宋_GB2312" w:cs="Times New Roman"/>
          <w:bCs/>
          <w:sz w:val="32"/>
          <w:szCs w:val="32"/>
          <w:lang w:val="en-US" w:eastAsia="zh-CN"/>
        </w:rPr>
        <w:t>自评工作领导小组和业务股室重点对项目完成情况进行评价，确保项目完成</w:t>
      </w:r>
      <w:r>
        <w:rPr>
          <w:rFonts w:hint="eastAsia" w:eastAsia="仿宋_GB2312" w:cs="Times New Roman"/>
          <w:bCs/>
          <w:sz w:val="32"/>
          <w:szCs w:val="32"/>
          <w:lang w:val="en-US" w:eastAsia="zh-CN"/>
        </w:rPr>
        <w:t>程度</w:t>
      </w:r>
      <w:r>
        <w:rPr>
          <w:rFonts w:hint="default" w:ascii="Times New Roman" w:hAnsi="Times New Roman" w:eastAsia="仿宋_GB2312" w:cs="Times New Roman"/>
          <w:bCs/>
          <w:sz w:val="32"/>
          <w:szCs w:val="32"/>
          <w:lang w:val="en-US" w:eastAsia="zh-CN"/>
        </w:rPr>
        <w:t>和规范性，做到专款专用，提高资金使用</w:t>
      </w:r>
      <w:r>
        <w:rPr>
          <w:rFonts w:hint="eastAsia" w:eastAsia="仿宋_GB2312" w:cs="Times New Roman"/>
          <w:bCs/>
          <w:sz w:val="32"/>
          <w:szCs w:val="32"/>
          <w:lang w:val="en-US" w:eastAsia="zh-CN"/>
        </w:rPr>
        <w:t>效率</w:t>
      </w:r>
      <w:bookmarkStart w:id="0" w:name="_GoBack"/>
      <w:bookmarkEnd w:id="0"/>
      <w:r>
        <w:rPr>
          <w:rFonts w:hint="default" w:ascii="Times New Roman" w:hAnsi="Times New Roman" w:eastAsia="仿宋_GB2312" w:cs="Times New Roman"/>
          <w:bCs/>
          <w:sz w:val="32"/>
          <w:szCs w:val="32"/>
          <w:lang w:val="en-US" w:eastAsia="zh-CN"/>
        </w:rPr>
        <w:t>。</w:t>
      </w:r>
    </w:p>
    <w:p>
      <w:pPr>
        <w:spacing w:line="580" w:lineRule="exact"/>
        <w:ind w:firstLine="640" w:firstLineChars="200"/>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三、评价结论</w:t>
      </w:r>
    </w:p>
    <w:p>
      <w:pPr>
        <w:numPr>
          <w:ilvl w:val="0"/>
          <w:numId w:val="0"/>
        </w:numPr>
        <w:spacing w:line="580" w:lineRule="exact"/>
        <w:ind w:firstLine="640" w:firstLineChars="200"/>
        <w:rPr>
          <w:rFonts w:hint="eastAsia" w:ascii="Times New Roman" w:hAnsi="Times New Roman" w:eastAsia="仿宋_GB2312" w:cs="Times New Roman"/>
          <w:bCs/>
          <w:sz w:val="32"/>
          <w:szCs w:val="32"/>
          <w:lang w:val="en-US" w:eastAsia="zh-CN"/>
        </w:rPr>
      </w:pPr>
      <w:r>
        <w:rPr>
          <w:rFonts w:hint="default" w:ascii="Times New Roman" w:hAnsi="Times New Roman" w:eastAsia="仿宋_GB2312" w:cs="Times New Roman"/>
          <w:bCs/>
          <w:sz w:val="32"/>
          <w:szCs w:val="32"/>
          <w:lang w:val="en-US" w:eastAsia="zh-CN"/>
        </w:rPr>
        <w:t>我</w:t>
      </w:r>
      <w:r>
        <w:rPr>
          <w:rFonts w:hint="eastAsia" w:ascii="Times New Roman" w:hAnsi="Times New Roman" w:eastAsia="仿宋_GB2312" w:cs="Times New Roman"/>
          <w:bCs/>
          <w:sz w:val="32"/>
          <w:szCs w:val="32"/>
          <w:lang w:val="en-US" w:eastAsia="zh-CN"/>
        </w:rPr>
        <w:t>会</w:t>
      </w:r>
      <w:r>
        <w:rPr>
          <w:rFonts w:hint="default" w:ascii="Times New Roman" w:hAnsi="Times New Roman" w:eastAsia="仿宋_GB2312" w:cs="Times New Roman"/>
          <w:bCs/>
          <w:sz w:val="32"/>
          <w:szCs w:val="32"/>
          <w:lang w:val="en-US" w:eastAsia="zh-CN"/>
        </w:rPr>
        <w:t>202</w:t>
      </w:r>
      <w:r>
        <w:rPr>
          <w:rFonts w:hint="eastAsia" w:eastAsia="仿宋_GB2312" w:cs="Times New Roman"/>
          <w:bCs/>
          <w:sz w:val="32"/>
          <w:szCs w:val="32"/>
          <w:lang w:val="en-US" w:eastAsia="zh-CN"/>
        </w:rPr>
        <w:t>2</w:t>
      </w:r>
      <w:r>
        <w:rPr>
          <w:rFonts w:hint="default" w:ascii="Times New Roman" w:hAnsi="Times New Roman" w:eastAsia="仿宋_GB2312" w:cs="Times New Roman"/>
          <w:bCs/>
          <w:sz w:val="32"/>
          <w:szCs w:val="32"/>
          <w:lang w:val="en-US" w:eastAsia="zh-CN"/>
        </w:rPr>
        <w:t>年度项目支出绩效自评分为9</w:t>
      </w:r>
      <w:r>
        <w:rPr>
          <w:rFonts w:hint="eastAsia" w:ascii="Times New Roman" w:hAnsi="Times New Roman" w:eastAsia="仿宋_GB2312" w:cs="Times New Roman"/>
          <w:bCs/>
          <w:sz w:val="32"/>
          <w:szCs w:val="32"/>
          <w:lang w:val="en-US" w:eastAsia="zh-CN"/>
        </w:rPr>
        <w:t>3</w:t>
      </w:r>
      <w:r>
        <w:rPr>
          <w:rFonts w:hint="default" w:ascii="Times New Roman" w:hAnsi="Times New Roman" w:eastAsia="仿宋_GB2312" w:cs="Times New Roman"/>
          <w:bCs/>
          <w:sz w:val="32"/>
          <w:szCs w:val="32"/>
          <w:lang w:val="en-US" w:eastAsia="zh-CN"/>
        </w:rPr>
        <w:t>分，</w:t>
      </w:r>
      <w:r>
        <w:rPr>
          <w:rFonts w:hint="eastAsia" w:ascii="Times New Roman" w:hAnsi="Times New Roman" w:eastAsia="仿宋_GB2312" w:cs="Times New Roman"/>
          <w:bCs/>
          <w:sz w:val="32"/>
          <w:szCs w:val="32"/>
          <w:lang w:val="en-US" w:eastAsia="zh-CN"/>
        </w:rPr>
        <w:t>根据</w:t>
      </w:r>
      <w:r>
        <w:rPr>
          <w:rFonts w:hint="default" w:ascii="Times New Roman" w:hAnsi="Times New Roman" w:eastAsia="仿宋_GB2312" w:cs="Times New Roman"/>
          <w:bCs/>
          <w:sz w:val="32"/>
          <w:szCs w:val="32"/>
          <w:lang w:val="en-US" w:eastAsia="zh-CN"/>
        </w:rPr>
        <w:t>综合评分结果，</w:t>
      </w:r>
      <w:r>
        <w:rPr>
          <w:rFonts w:hint="eastAsia" w:ascii="Times New Roman" w:hAnsi="Times New Roman" w:eastAsia="仿宋_GB2312" w:cs="Times New Roman"/>
          <w:bCs/>
          <w:sz w:val="32"/>
          <w:szCs w:val="32"/>
          <w:lang w:val="en-US" w:eastAsia="zh-CN"/>
        </w:rPr>
        <w:t>按照相关文件规定</w:t>
      </w:r>
      <w:r>
        <w:rPr>
          <w:rFonts w:hint="default" w:ascii="Times New Roman" w:hAnsi="Times New Roman" w:eastAsia="仿宋_GB2312" w:cs="Times New Roman"/>
          <w:bCs/>
          <w:sz w:val="32"/>
          <w:szCs w:val="32"/>
          <w:lang w:val="en-US" w:eastAsia="zh-CN"/>
        </w:rPr>
        <w:t>确定绩效等级为</w:t>
      </w:r>
      <w:r>
        <w:rPr>
          <w:rFonts w:hint="eastAsia" w:eastAsia="仿宋_GB2312" w:cs="Times New Roman"/>
          <w:bCs/>
          <w:sz w:val="32"/>
          <w:szCs w:val="32"/>
          <w:lang w:val="en-US" w:eastAsia="zh-CN"/>
        </w:rPr>
        <w:t>良</w:t>
      </w:r>
      <w:r>
        <w:rPr>
          <w:rFonts w:hint="default" w:ascii="Times New Roman" w:hAnsi="Times New Roman" w:eastAsia="仿宋_GB2312" w:cs="Times New Roman"/>
          <w:bCs/>
          <w:sz w:val="32"/>
          <w:szCs w:val="32"/>
          <w:lang w:val="en-US" w:eastAsia="zh-CN"/>
        </w:rPr>
        <w:t>。</w:t>
      </w:r>
    </w:p>
    <w:p>
      <w:pPr>
        <w:spacing w:line="580" w:lineRule="exact"/>
        <w:ind w:firstLine="640" w:firstLineChars="200"/>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四、绩效分析</w:t>
      </w:r>
    </w:p>
    <w:p>
      <w:pPr>
        <w:spacing w:line="580" w:lineRule="exact"/>
        <w:ind w:firstLine="640" w:firstLineChars="200"/>
        <w:rPr>
          <w:rFonts w:hint="default" w:ascii="Times New Roman" w:hAnsi="Times New Roman" w:eastAsia="方正仿宋简体" w:cs="Times New Roman"/>
          <w:sz w:val="32"/>
          <w:szCs w:val="32"/>
        </w:rPr>
      </w:pPr>
      <w:r>
        <w:rPr>
          <w:rFonts w:hint="eastAsia" w:eastAsia="仿宋_GB2312" w:cs="Times New Roman"/>
          <w:bCs/>
          <w:sz w:val="32"/>
          <w:szCs w:val="32"/>
          <w:lang w:val="en-US" w:eastAsia="zh-CN"/>
        </w:rPr>
        <w:t>我会实施专项工作经费项目主要包括三个方面，乐至县红十字会第四届会员代表换届选举大会会议费、乐至县红十字会开办经费以及“三救三献”工作开展。数量指标9个，参会代表人数108人、志愿者活动39次、注册志愿者人数200人、购买办公设备39台（套）、应急救护普及培训3243人、救护员培训560人、造血干细胞采集21人份、新成立志愿者队伍2支；质量指标为保障会员代表大会顺利举行，换届选举取得圆满成功，实际已完成；时效指标会议时间4小时内，会议在预定时间内顺利完成；成本指标会议经费5万元，实际使用2.98万元，开办总成本25万元，实际使用6.99万元，在规定范围内</w:t>
      </w:r>
      <w:r>
        <w:rPr>
          <w:rFonts w:hint="default" w:ascii="Times New Roman" w:hAnsi="Times New Roman" w:eastAsia="仿宋_GB2312" w:cs="Times New Roman"/>
          <w:bCs/>
          <w:sz w:val="32"/>
          <w:szCs w:val="32"/>
          <w:lang w:val="en-US" w:eastAsia="zh-CN"/>
        </w:rPr>
        <w:t>圆满完成项目目标的各项指标。</w:t>
      </w:r>
    </w:p>
    <w:p>
      <w:pPr>
        <w:spacing w:line="580" w:lineRule="exact"/>
        <w:ind w:firstLine="640" w:firstLineChars="200"/>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五、主要经验及做法、存在的问题和建议</w:t>
      </w:r>
    </w:p>
    <w:p>
      <w:pPr>
        <w:spacing w:line="580" w:lineRule="exact"/>
        <w:ind w:firstLine="643" w:firstLineChars="200"/>
        <w:rPr>
          <w:rFonts w:hint="default" w:ascii="Times New Roman" w:hAnsi="Times New Roman" w:eastAsia="方正楷体简体" w:cs="Times New Roman"/>
          <w:b/>
          <w:sz w:val="32"/>
          <w:szCs w:val="32"/>
        </w:rPr>
      </w:pPr>
      <w:r>
        <w:rPr>
          <w:rFonts w:hint="default" w:ascii="Times New Roman" w:hAnsi="Times New Roman" w:eastAsia="方正楷体简体" w:cs="Times New Roman"/>
          <w:b/>
          <w:sz w:val="32"/>
          <w:szCs w:val="32"/>
        </w:rPr>
        <w:t>（一）主要经验及做法</w:t>
      </w:r>
    </w:p>
    <w:p>
      <w:pPr>
        <w:spacing w:line="580" w:lineRule="exact"/>
        <w:ind w:firstLine="640" w:firstLineChars="200"/>
        <w:rPr>
          <w:rFonts w:hint="default" w:ascii="Times New Roman" w:hAnsi="Times New Roman" w:eastAsia="方正仿宋简体" w:cs="Times New Roman"/>
          <w:sz w:val="32"/>
          <w:szCs w:val="32"/>
          <w:lang w:val="en-US" w:eastAsia="zh-CN"/>
        </w:rPr>
      </w:pPr>
      <w:r>
        <w:rPr>
          <w:rFonts w:hint="eastAsia" w:eastAsia="仿宋_GB2312" w:cs="Times New Roman"/>
          <w:bCs/>
          <w:sz w:val="32"/>
          <w:szCs w:val="32"/>
          <w:lang w:val="en-US" w:eastAsia="zh-CN"/>
        </w:rPr>
        <w:t>新成立单位年初虽无预算，在追加过程中编制项目计划，确定项目内容和完成目标</w:t>
      </w:r>
      <w:r>
        <w:rPr>
          <w:rFonts w:hint="default" w:ascii="Times New Roman" w:hAnsi="Times New Roman" w:eastAsia="仿宋_GB2312" w:cs="Times New Roman"/>
          <w:bCs/>
          <w:sz w:val="32"/>
          <w:szCs w:val="32"/>
          <w:lang w:val="en-US" w:eastAsia="zh-CN"/>
        </w:rPr>
        <w:t>，项目实施过程中加强了对项目实施过程的跟踪</w:t>
      </w:r>
      <w:r>
        <w:rPr>
          <w:rFonts w:hint="eastAsia" w:eastAsia="仿宋_GB2312" w:cs="Times New Roman"/>
          <w:bCs/>
          <w:sz w:val="32"/>
          <w:szCs w:val="32"/>
          <w:lang w:val="en-US" w:eastAsia="zh-CN"/>
        </w:rPr>
        <w:t>、</w:t>
      </w:r>
      <w:r>
        <w:rPr>
          <w:rFonts w:hint="default" w:ascii="Times New Roman" w:hAnsi="Times New Roman" w:eastAsia="仿宋_GB2312" w:cs="Times New Roman"/>
          <w:bCs/>
          <w:sz w:val="32"/>
          <w:szCs w:val="32"/>
          <w:lang w:val="en-US" w:eastAsia="zh-CN"/>
        </w:rPr>
        <w:t>监督和绩效评价，确保了项目</w:t>
      </w:r>
      <w:r>
        <w:rPr>
          <w:rFonts w:hint="eastAsia" w:eastAsia="仿宋_GB2312" w:cs="Times New Roman"/>
          <w:bCs/>
          <w:sz w:val="32"/>
          <w:szCs w:val="32"/>
          <w:lang w:val="en-US" w:eastAsia="zh-CN"/>
        </w:rPr>
        <w:t>各项内容</w:t>
      </w:r>
      <w:r>
        <w:rPr>
          <w:rFonts w:hint="default" w:ascii="Times New Roman" w:hAnsi="Times New Roman" w:eastAsia="仿宋_GB2312" w:cs="Times New Roman"/>
          <w:bCs/>
          <w:sz w:val="32"/>
          <w:szCs w:val="32"/>
          <w:lang w:val="en-US" w:eastAsia="zh-CN"/>
        </w:rPr>
        <w:t>的完成时间和效果。</w:t>
      </w:r>
    </w:p>
    <w:p>
      <w:pPr>
        <w:spacing w:line="580" w:lineRule="exact"/>
        <w:ind w:firstLine="643" w:firstLineChars="200"/>
        <w:rPr>
          <w:rFonts w:hint="default" w:ascii="Times New Roman" w:hAnsi="Times New Roman" w:eastAsia="方正楷体简体" w:cs="Times New Roman"/>
          <w:b/>
          <w:sz w:val="32"/>
          <w:szCs w:val="32"/>
        </w:rPr>
      </w:pPr>
      <w:r>
        <w:rPr>
          <w:rFonts w:hint="default" w:ascii="Times New Roman" w:hAnsi="Times New Roman" w:eastAsia="方正楷体简体" w:cs="Times New Roman"/>
          <w:b/>
          <w:sz w:val="32"/>
          <w:szCs w:val="32"/>
        </w:rPr>
        <w:t>（二）存在的问题</w:t>
      </w:r>
    </w:p>
    <w:p>
      <w:pPr>
        <w:pStyle w:val="2"/>
        <w:spacing w:line="620" w:lineRule="exact"/>
        <w:ind w:firstLine="627" w:firstLineChars="196"/>
        <w:rPr>
          <w:rFonts w:hint="default" w:ascii="Times New Roman" w:hAnsi="Times New Roman" w:eastAsia="方正楷体简体" w:cs="Times New Roman"/>
          <w:b/>
          <w:sz w:val="32"/>
          <w:szCs w:val="32"/>
        </w:rPr>
      </w:pPr>
      <w:r>
        <w:rPr>
          <w:rFonts w:hint="default" w:ascii="Times New Roman" w:hAnsi="Times New Roman" w:eastAsia="仿宋_GB2312" w:cs="Times New Roman"/>
          <w:bCs/>
          <w:kern w:val="2"/>
          <w:sz w:val="32"/>
          <w:szCs w:val="32"/>
          <w:lang w:val="en-US" w:eastAsia="zh-CN" w:bidi="ar-SA"/>
        </w:rPr>
        <w:t>对绩效评价工作尚不熟练，项目绩效评价不够深入，</w:t>
      </w:r>
      <w:r>
        <w:rPr>
          <w:rFonts w:hint="eastAsia" w:ascii="Times New Roman" w:hAnsi="Times New Roman" w:eastAsia="仿宋_GB2312" w:cs="Times New Roman"/>
          <w:bCs/>
          <w:kern w:val="2"/>
          <w:sz w:val="32"/>
          <w:szCs w:val="32"/>
          <w:lang w:val="en-US" w:eastAsia="zh-CN" w:bidi="ar-SA"/>
        </w:rPr>
        <w:t>缺乏专业的绩效评价知识。</w:t>
      </w:r>
    </w:p>
    <w:p>
      <w:pPr>
        <w:numPr>
          <w:ilvl w:val="0"/>
          <w:numId w:val="1"/>
        </w:numPr>
        <w:spacing w:line="580" w:lineRule="exact"/>
        <w:ind w:left="0" w:leftChars="0" w:firstLine="643" w:firstLineChars="200"/>
        <w:rPr>
          <w:rFonts w:hint="default" w:ascii="Times New Roman" w:hAnsi="Times New Roman" w:eastAsia="方正楷体简体" w:cs="Times New Roman"/>
          <w:b/>
          <w:sz w:val="32"/>
          <w:szCs w:val="32"/>
        </w:rPr>
      </w:pPr>
      <w:r>
        <w:rPr>
          <w:rFonts w:hint="default" w:ascii="Times New Roman" w:hAnsi="Times New Roman" w:eastAsia="方正楷体简体" w:cs="Times New Roman"/>
          <w:b/>
          <w:sz w:val="32"/>
          <w:szCs w:val="32"/>
        </w:rPr>
        <w:t>建议和改进措施</w:t>
      </w:r>
    </w:p>
    <w:p>
      <w:pPr>
        <w:pStyle w:val="2"/>
        <w:numPr>
          <w:ilvl w:val="0"/>
          <w:numId w:val="0"/>
        </w:numPr>
        <w:autoSpaceDE/>
        <w:autoSpaceDN/>
        <w:adjustRightInd/>
        <w:spacing w:line="580" w:lineRule="exact"/>
        <w:ind w:firstLine="640" w:firstLineChars="200"/>
        <w:rPr>
          <w:rFonts w:hint="eastAsia" w:ascii="Times New Roman" w:hAnsi="Times New Roman" w:eastAsia="仿宋_GB2312" w:cs="Times New Roman"/>
          <w:bCs/>
          <w:kern w:val="2"/>
          <w:sz w:val="32"/>
          <w:szCs w:val="32"/>
          <w:lang w:val="en-US" w:eastAsia="zh-CN" w:bidi="ar-SA"/>
        </w:rPr>
      </w:pPr>
      <w:r>
        <w:rPr>
          <w:rFonts w:hint="eastAsia" w:ascii="Times New Roman" w:hAnsi="Times New Roman" w:eastAsia="仿宋_GB2312" w:cs="Times New Roman"/>
          <w:bCs/>
          <w:kern w:val="2"/>
          <w:sz w:val="32"/>
          <w:szCs w:val="32"/>
          <w:lang w:val="en-US" w:eastAsia="zh-CN" w:bidi="ar-SA"/>
        </w:rPr>
        <w:t>进一步完善单位预算绩效监控相关制度；加强对预算绩效管理的理论学习，以全面、科学地评价本单位资金运用情况。</w:t>
      </w:r>
    </w:p>
    <w:p>
      <w:pPr>
        <w:pStyle w:val="2"/>
        <w:numPr>
          <w:ilvl w:val="0"/>
          <w:numId w:val="0"/>
        </w:numPr>
        <w:autoSpaceDE/>
        <w:autoSpaceDN/>
        <w:adjustRightInd/>
        <w:spacing w:line="580" w:lineRule="exact"/>
        <w:ind w:firstLine="640" w:firstLineChars="200"/>
        <w:rPr>
          <w:rFonts w:hint="eastAsia"/>
          <w:lang w:val="en-US" w:eastAsia="zh-CN"/>
        </w:rPr>
      </w:pPr>
      <w:r>
        <w:rPr>
          <w:rFonts w:hint="eastAsia" w:ascii="Times New Roman" w:hAnsi="Times New Roman" w:eastAsia="仿宋_GB2312" w:cs="Times New Roman"/>
          <w:bCs/>
          <w:kern w:val="2"/>
          <w:sz w:val="32"/>
          <w:szCs w:val="32"/>
          <w:lang w:val="en-US" w:eastAsia="zh-CN" w:bidi="ar-SA"/>
        </w:rPr>
        <w:t>建议财政部门加强对项目绩效管理工作的全面培训，增强单位对预算项目绩效管理的工作的责任感和紧迫感，顺利推进预算项目绩效管理工作的有效实施。</w:t>
      </w:r>
    </w:p>
    <w:p>
      <w:pPr>
        <w:rPr>
          <w:rFonts w:hint="eastAsia"/>
          <w:lang w:val="en-US" w:eastAsia="zh-CN"/>
        </w:rPr>
      </w:pPr>
    </w:p>
    <w:p>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1.202</w:t>
      </w:r>
      <w:r>
        <w:rPr>
          <w:rFonts w:hint="eastAsia" w:eastAsia="方正仿宋简体"/>
          <w:sz w:val="32"/>
          <w:szCs w:val="32"/>
          <w:lang w:val="en-US" w:eastAsia="zh-CN"/>
        </w:rPr>
        <w:t>2</w:t>
      </w:r>
      <w:r>
        <w:rPr>
          <w:rFonts w:hint="eastAsia" w:eastAsia="方正仿宋简体"/>
          <w:sz w:val="32"/>
          <w:szCs w:val="32"/>
        </w:rPr>
        <w:t>年度乐至县项目支出绩效自评计分表</w:t>
      </w:r>
    </w:p>
    <w:p>
      <w:pPr>
        <w:spacing w:line="580" w:lineRule="exact"/>
        <w:ind w:firstLine="1600" w:firstLineChars="500"/>
        <w:rPr>
          <w:rFonts w:eastAsia="方正仿宋简体"/>
          <w:sz w:val="32"/>
          <w:szCs w:val="32"/>
        </w:rPr>
      </w:pPr>
      <w:r>
        <w:rPr>
          <w:rFonts w:eastAsia="方正仿宋简体"/>
          <w:sz w:val="32"/>
          <w:szCs w:val="32"/>
        </w:rPr>
        <w:t>2.202</w:t>
      </w:r>
      <w:r>
        <w:rPr>
          <w:rFonts w:hint="eastAsia" w:eastAsia="方正仿宋简体"/>
          <w:sz w:val="32"/>
          <w:szCs w:val="32"/>
          <w:lang w:val="en-US" w:eastAsia="zh-CN"/>
        </w:rPr>
        <w:t>2</w:t>
      </w:r>
      <w:r>
        <w:rPr>
          <w:rFonts w:hint="eastAsia" w:eastAsia="方正仿宋简体"/>
          <w:sz w:val="32"/>
          <w:szCs w:val="32"/>
        </w:rPr>
        <w:t>年度乐至县项目支出绩效目标完成情况表</w:t>
      </w:r>
    </w:p>
    <w:p>
      <w:pPr>
        <w:wordWrap w:val="0"/>
        <w:spacing w:line="580" w:lineRule="exact"/>
        <w:jc w:val="both"/>
        <w:rPr>
          <w:rFonts w:hint="eastAsia" w:eastAsia="方正黑体简体"/>
          <w:bCs/>
          <w:kern w:val="0"/>
          <w:sz w:val="32"/>
          <w:szCs w:val="32"/>
        </w:rPr>
      </w:pPr>
      <w:r>
        <w:rPr>
          <w:rFonts w:hint="eastAsia" w:eastAsia="方正仿宋简体"/>
          <w:sz w:val="32"/>
          <w:szCs w:val="32"/>
          <w:lang w:val="en-US" w:eastAsia="zh-CN"/>
        </w:rPr>
        <w:t xml:space="preserve">  </w:t>
      </w: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2</w:t>
      </w:r>
      <w:r>
        <w:rPr>
          <w:rFonts w:hint="eastAsia" w:eastAsia="方正小标宋简体"/>
          <w:bCs/>
          <w:kern w:val="0"/>
          <w:sz w:val="44"/>
          <w:szCs w:val="44"/>
        </w:rPr>
        <w:t>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bCs/>
          <w:kern w:val="0"/>
          <w:sz w:val="32"/>
          <w:szCs w:val="32"/>
          <w:lang w:val="en-US" w:eastAsia="zh-CN"/>
        </w:rPr>
        <w:t>专项工作经费</w:t>
      </w:r>
      <w:r>
        <w:rPr>
          <w:rFonts w:hint="eastAsia" w:eastAsia="方正楷体简体"/>
          <w:b/>
          <w:bCs/>
          <w:kern w:val="0"/>
          <w:sz w:val="32"/>
          <w:szCs w:val="32"/>
        </w:rPr>
        <w:t>）</w:t>
      </w:r>
    </w:p>
    <w:p>
      <w:pPr>
        <w:spacing w:line="620" w:lineRule="exact"/>
        <w:rPr>
          <w:rFonts w:hint="eastAsia" w:eastAsia="宋体"/>
          <w:sz w:val="24"/>
          <w:lang w:val="en-US" w:eastAsia="zh-CN"/>
        </w:rPr>
      </w:pPr>
      <w:r>
        <w:rPr>
          <w:rFonts w:hint="eastAsia"/>
          <w:bCs/>
          <w:kern w:val="0"/>
          <w:sz w:val="24"/>
        </w:rPr>
        <w:t>预算单位名称：</w:t>
      </w:r>
      <w:r>
        <w:rPr>
          <w:rFonts w:hint="eastAsia"/>
          <w:bCs/>
          <w:kern w:val="0"/>
          <w:sz w:val="24"/>
          <w:lang w:val="en-US" w:eastAsia="zh-CN"/>
        </w:rPr>
        <w:t>乐至县红十字会</w:t>
      </w:r>
      <w:r>
        <w:rPr>
          <w:bCs/>
          <w:kern w:val="0"/>
          <w:sz w:val="24"/>
        </w:rPr>
        <w:t xml:space="preserve">     </w:t>
      </w:r>
      <w:r>
        <w:rPr>
          <w:rFonts w:hint="eastAsia"/>
          <w:bCs/>
          <w:kern w:val="0"/>
          <w:sz w:val="24"/>
        </w:rPr>
        <w:t>预算单位编码：</w:t>
      </w:r>
      <w:r>
        <w:rPr>
          <w:rFonts w:hint="eastAsia"/>
          <w:bCs/>
          <w:kern w:val="0"/>
          <w:sz w:val="24"/>
          <w:lang w:val="en-US" w:eastAsia="zh-CN"/>
        </w:rPr>
        <w:t>199001</w:t>
      </w:r>
      <w:r>
        <w:rPr>
          <w:bCs/>
          <w:kern w:val="0"/>
          <w:sz w:val="24"/>
        </w:rPr>
        <w:t xml:space="preserve">     </w:t>
      </w:r>
      <w:r>
        <w:rPr>
          <w:rFonts w:hint="eastAsia"/>
          <w:bCs/>
          <w:kern w:val="0"/>
          <w:sz w:val="24"/>
        </w:rPr>
        <w:t>自评等级：</w:t>
      </w:r>
      <w:r>
        <w:rPr>
          <w:rFonts w:hint="eastAsia"/>
          <w:bCs/>
          <w:kern w:val="0"/>
          <w:sz w:val="24"/>
          <w:lang w:val="en-US" w:eastAsia="zh-CN"/>
        </w:rPr>
        <w:t>良</w:t>
      </w:r>
    </w:p>
    <w:tbl>
      <w:tblPr>
        <w:tblStyle w:val="4"/>
        <w:tblW w:w="511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04"/>
        <w:gridCol w:w="495"/>
        <w:gridCol w:w="634"/>
        <w:gridCol w:w="1634"/>
        <w:gridCol w:w="3508"/>
        <w:gridCol w:w="639"/>
        <w:gridCol w:w="11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294"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289"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70"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54"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2049"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7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669"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294"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289"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370"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54"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2049"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7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669" w:type="pct"/>
            <w:noWrap/>
            <w:vAlign w:val="center"/>
          </w:tcPr>
          <w:p>
            <w:pPr>
              <w:widowControl/>
              <w:spacing w:line="24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294" w:type="pct"/>
            <w:vMerge w:val="continue"/>
            <w:shd w:val="clear" w:color="auto" w:fill="auto"/>
            <w:noWrap w:val="0"/>
            <w:vAlign w:val="center"/>
          </w:tcPr>
          <w:p>
            <w:pPr>
              <w:widowControl/>
              <w:spacing w:line="240" w:lineRule="exact"/>
              <w:jc w:val="left"/>
              <w:rPr>
                <w:kern w:val="0"/>
                <w:szCs w:val="21"/>
              </w:rPr>
            </w:pPr>
          </w:p>
        </w:tc>
        <w:tc>
          <w:tcPr>
            <w:tcW w:w="289" w:type="pct"/>
            <w:vMerge w:val="continue"/>
            <w:shd w:val="clear" w:color="auto" w:fill="auto"/>
            <w:noWrap w:val="0"/>
            <w:vAlign w:val="center"/>
          </w:tcPr>
          <w:p>
            <w:pPr>
              <w:widowControl/>
              <w:spacing w:line="240" w:lineRule="exact"/>
              <w:jc w:val="left"/>
              <w:rPr>
                <w:kern w:val="0"/>
                <w:szCs w:val="21"/>
              </w:rPr>
            </w:pPr>
          </w:p>
        </w:tc>
        <w:tc>
          <w:tcPr>
            <w:tcW w:w="370"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54"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2049"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7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669" w:type="pct"/>
            <w:noWrap/>
            <w:vAlign w:val="center"/>
          </w:tcPr>
          <w:p>
            <w:pPr>
              <w:widowControl/>
              <w:spacing w:line="24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294" w:type="pct"/>
            <w:vMerge w:val="continue"/>
            <w:shd w:val="clear" w:color="auto" w:fill="auto"/>
            <w:noWrap w:val="0"/>
            <w:vAlign w:val="center"/>
          </w:tcPr>
          <w:p>
            <w:pPr>
              <w:widowControl/>
              <w:spacing w:line="240" w:lineRule="exact"/>
              <w:jc w:val="left"/>
              <w:rPr>
                <w:kern w:val="0"/>
                <w:szCs w:val="21"/>
              </w:rPr>
            </w:pPr>
          </w:p>
        </w:tc>
        <w:tc>
          <w:tcPr>
            <w:tcW w:w="289" w:type="pct"/>
            <w:vMerge w:val="continue"/>
            <w:shd w:val="clear" w:color="auto" w:fill="auto"/>
            <w:noWrap w:val="0"/>
            <w:vAlign w:val="center"/>
          </w:tcPr>
          <w:p>
            <w:pPr>
              <w:widowControl/>
              <w:spacing w:line="240" w:lineRule="exact"/>
              <w:jc w:val="left"/>
              <w:rPr>
                <w:kern w:val="0"/>
                <w:szCs w:val="21"/>
              </w:rPr>
            </w:pPr>
          </w:p>
        </w:tc>
        <w:tc>
          <w:tcPr>
            <w:tcW w:w="370"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54"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2049"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7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669"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新成立单位年初无预算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294" w:type="pct"/>
            <w:vMerge w:val="continue"/>
            <w:shd w:val="clear" w:color="auto" w:fill="auto"/>
            <w:noWrap w:val="0"/>
            <w:vAlign w:val="center"/>
          </w:tcPr>
          <w:p>
            <w:pPr>
              <w:widowControl/>
              <w:spacing w:line="240" w:lineRule="exact"/>
              <w:jc w:val="left"/>
              <w:rPr>
                <w:kern w:val="0"/>
                <w:szCs w:val="21"/>
              </w:rPr>
            </w:pPr>
          </w:p>
        </w:tc>
        <w:tc>
          <w:tcPr>
            <w:tcW w:w="289"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370"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54"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2049"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7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0</w:t>
            </w:r>
          </w:p>
        </w:tc>
        <w:tc>
          <w:tcPr>
            <w:tcW w:w="669"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计划投入资金40万，实际到位资金12万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294" w:type="pct"/>
            <w:vMerge w:val="continue"/>
            <w:shd w:val="clear" w:color="auto" w:fill="auto"/>
            <w:noWrap w:val="0"/>
            <w:vAlign w:val="center"/>
          </w:tcPr>
          <w:p>
            <w:pPr>
              <w:widowControl/>
              <w:spacing w:line="240" w:lineRule="exact"/>
              <w:jc w:val="left"/>
              <w:rPr>
                <w:kern w:val="0"/>
                <w:szCs w:val="21"/>
              </w:rPr>
            </w:pPr>
          </w:p>
        </w:tc>
        <w:tc>
          <w:tcPr>
            <w:tcW w:w="289" w:type="pct"/>
            <w:vMerge w:val="continue"/>
            <w:shd w:val="clear" w:color="auto" w:fill="auto"/>
            <w:noWrap w:val="0"/>
            <w:vAlign w:val="center"/>
          </w:tcPr>
          <w:p>
            <w:pPr>
              <w:widowControl/>
              <w:spacing w:line="240" w:lineRule="exact"/>
              <w:jc w:val="left"/>
              <w:rPr>
                <w:kern w:val="0"/>
                <w:szCs w:val="21"/>
              </w:rPr>
            </w:pPr>
          </w:p>
        </w:tc>
        <w:tc>
          <w:tcPr>
            <w:tcW w:w="370"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54"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2049"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7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669"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294"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289"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370"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54"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2049"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7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669"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294" w:type="pct"/>
            <w:vMerge w:val="continue"/>
            <w:shd w:val="clear" w:color="auto" w:fill="auto"/>
            <w:noWrap w:val="0"/>
            <w:vAlign w:val="center"/>
          </w:tcPr>
          <w:p>
            <w:pPr>
              <w:widowControl/>
              <w:spacing w:line="260" w:lineRule="exact"/>
              <w:jc w:val="left"/>
              <w:rPr>
                <w:kern w:val="0"/>
                <w:szCs w:val="21"/>
              </w:rPr>
            </w:pPr>
          </w:p>
        </w:tc>
        <w:tc>
          <w:tcPr>
            <w:tcW w:w="289" w:type="pct"/>
            <w:vMerge w:val="continue"/>
            <w:shd w:val="clear" w:color="auto" w:fill="auto"/>
            <w:noWrap w:val="0"/>
            <w:vAlign w:val="center"/>
          </w:tcPr>
          <w:p>
            <w:pPr>
              <w:widowControl/>
              <w:spacing w:line="260" w:lineRule="exact"/>
              <w:jc w:val="left"/>
              <w:rPr>
                <w:kern w:val="0"/>
                <w:szCs w:val="21"/>
              </w:rPr>
            </w:pPr>
          </w:p>
        </w:tc>
        <w:tc>
          <w:tcPr>
            <w:tcW w:w="370"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54"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2049"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7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669"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294" w:type="pct"/>
            <w:vMerge w:val="continue"/>
            <w:shd w:val="clear" w:color="auto" w:fill="auto"/>
            <w:noWrap w:val="0"/>
            <w:vAlign w:val="center"/>
          </w:tcPr>
          <w:p>
            <w:pPr>
              <w:widowControl/>
              <w:spacing w:line="260" w:lineRule="exact"/>
              <w:jc w:val="left"/>
              <w:rPr>
                <w:kern w:val="0"/>
                <w:szCs w:val="21"/>
              </w:rPr>
            </w:pPr>
          </w:p>
        </w:tc>
        <w:tc>
          <w:tcPr>
            <w:tcW w:w="289" w:type="pct"/>
            <w:vMerge w:val="continue"/>
            <w:shd w:val="clear" w:color="auto" w:fill="auto"/>
            <w:noWrap w:val="0"/>
            <w:vAlign w:val="center"/>
          </w:tcPr>
          <w:p>
            <w:pPr>
              <w:widowControl/>
              <w:spacing w:line="260" w:lineRule="exact"/>
              <w:jc w:val="left"/>
              <w:rPr>
                <w:kern w:val="0"/>
                <w:szCs w:val="21"/>
              </w:rPr>
            </w:pPr>
          </w:p>
        </w:tc>
        <w:tc>
          <w:tcPr>
            <w:tcW w:w="370"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54"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2049"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7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669"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294" w:type="pct"/>
            <w:vMerge w:val="continue"/>
            <w:shd w:val="clear" w:color="auto" w:fill="auto"/>
            <w:noWrap w:val="0"/>
            <w:vAlign w:val="center"/>
          </w:tcPr>
          <w:p>
            <w:pPr>
              <w:widowControl/>
              <w:spacing w:line="260" w:lineRule="exact"/>
              <w:jc w:val="left"/>
              <w:rPr>
                <w:kern w:val="0"/>
                <w:szCs w:val="21"/>
              </w:rPr>
            </w:pPr>
          </w:p>
        </w:tc>
        <w:tc>
          <w:tcPr>
            <w:tcW w:w="289"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370"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54"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2049"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7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669"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294" w:type="pct"/>
            <w:vMerge w:val="continue"/>
            <w:shd w:val="clear" w:color="auto" w:fill="auto"/>
            <w:noWrap w:val="0"/>
            <w:vAlign w:val="center"/>
          </w:tcPr>
          <w:p>
            <w:pPr>
              <w:widowControl/>
              <w:spacing w:line="260" w:lineRule="exact"/>
              <w:jc w:val="left"/>
              <w:rPr>
                <w:kern w:val="0"/>
                <w:szCs w:val="21"/>
              </w:rPr>
            </w:pPr>
          </w:p>
        </w:tc>
        <w:tc>
          <w:tcPr>
            <w:tcW w:w="289" w:type="pct"/>
            <w:vMerge w:val="continue"/>
            <w:shd w:val="clear" w:color="auto" w:fill="auto"/>
            <w:noWrap w:val="0"/>
            <w:vAlign w:val="center"/>
          </w:tcPr>
          <w:p>
            <w:pPr>
              <w:widowControl/>
              <w:spacing w:line="260" w:lineRule="exact"/>
              <w:jc w:val="left"/>
              <w:rPr>
                <w:kern w:val="0"/>
                <w:szCs w:val="21"/>
              </w:rPr>
            </w:pPr>
          </w:p>
        </w:tc>
        <w:tc>
          <w:tcPr>
            <w:tcW w:w="370"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54"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2049"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7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7</w:t>
            </w:r>
          </w:p>
        </w:tc>
        <w:tc>
          <w:tcPr>
            <w:tcW w:w="669"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294" w:type="pct"/>
            <w:vMerge w:val="continue"/>
            <w:shd w:val="clear" w:color="auto" w:fill="auto"/>
            <w:noWrap w:val="0"/>
            <w:vAlign w:val="center"/>
          </w:tcPr>
          <w:p>
            <w:pPr>
              <w:widowControl/>
              <w:spacing w:line="260" w:lineRule="exact"/>
              <w:jc w:val="left"/>
              <w:rPr>
                <w:kern w:val="0"/>
                <w:szCs w:val="21"/>
              </w:rPr>
            </w:pPr>
          </w:p>
        </w:tc>
        <w:tc>
          <w:tcPr>
            <w:tcW w:w="289" w:type="pct"/>
            <w:vMerge w:val="continue"/>
            <w:shd w:val="clear" w:color="auto" w:fill="auto"/>
            <w:noWrap w:val="0"/>
            <w:vAlign w:val="center"/>
          </w:tcPr>
          <w:p>
            <w:pPr>
              <w:widowControl/>
              <w:spacing w:line="260" w:lineRule="exact"/>
              <w:jc w:val="left"/>
              <w:rPr>
                <w:kern w:val="0"/>
                <w:szCs w:val="21"/>
              </w:rPr>
            </w:pPr>
          </w:p>
        </w:tc>
        <w:tc>
          <w:tcPr>
            <w:tcW w:w="370"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54"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2049"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7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2</w:t>
            </w:r>
          </w:p>
        </w:tc>
        <w:tc>
          <w:tcPr>
            <w:tcW w:w="669"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294"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289"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370"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54"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2049"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7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669"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294" w:type="pct"/>
            <w:vMerge w:val="continue"/>
            <w:shd w:val="clear" w:color="auto" w:fill="auto"/>
            <w:noWrap w:val="0"/>
            <w:vAlign w:val="center"/>
          </w:tcPr>
          <w:p>
            <w:pPr>
              <w:widowControl/>
              <w:spacing w:line="240" w:lineRule="exact"/>
              <w:jc w:val="left"/>
              <w:rPr>
                <w:kern w:val="0"/>
                <w:szCs w:val="21"/>
              </w:rPr>
            </w:pPr>
          </w:p>
        </w:tc>
        <w:tc>
          <w:tcPr>
            <w:tcW w:w="289" w:type="pct"/>
            <w:vMerge w:val="continue"/>
            <w:shd w:val="clear" w:color="auto" w:fill="auto"/>
            <w:noWrap w:val="0"/>
            <w:vAlign w:val="center"/>
          </w:tcPr>
          <w:p>
            <w:pPr>
              <w:widowControl/>
              <w:spacing w:line="240" w:lineRule="exact"/>
              <w:jc w:val="left"/>
              <w:rPr>
                <w:kern w:val="0"/>
                <w:szCs w:val="21"/>
              </w:rPr>
            </w:pPr>
          </w:p>
        </w:tc>
        <w:tc>
          <w:tcPr>
            <w:tcW w:w="370"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54"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2049"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7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669"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294" w:type="pct"/>
            <w:vMerge w:val="continue"/>
            <w:shd w:val="clear" w:color="auto" w:fill="auto"/>
            <w:noWrap w:val="0"/>
            <w:vAlign w:val="center"/>
          </w:tcPr>
          <w:p>
            <w:pPr>
              <w:widowControl/>
              <w:spacing w:line="240" w:lineRule="exact"/>
              <w:jc w:val="left"/>
              <w:rPr>
                <w:kern w:val="0"/>
                <w:szCs w:val="21"/>
              </w:rPr>
            </w:pPr>
          </w:p>
        </w:tc>
        <w:tc>
          <w:tcPr>
            <w:tcW w:w="289" w:type="pct"/>
            <w:vMerge w:val="continue"/>
            <w:shd w:val="clear" w:color="auto" w:fill="auto"/>
            <w:noWrap w:val="0"/>
            <w:vAlign w:val="center"/>
          </w:tcPr>
          <w:p>
            <w:pPr>
              <w:widowControl/>
              <w:spacing w:line="240" w:lineRule="exact"/>
              <w:jc w:val="left"/>
              <w:rPr>
                <w:kern w:val="0"/>
                <w:szCs w:val="21"/>
              </w:rPr>
            </w:pPr>
          </w:p>
        </w:tc>
        <w:tc>
          <w:tcPr>
            <w:tcW w:w="370"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54"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2049"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7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669"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294" w:type="pct"/>
            <w:vMerge w:val="continue"/>
            <w:shd w:val="clear" w:color="auto" w:fill="auto"/>
            <w:noWrap w:val="0"/>
            <w:vAlign w:val="center"/>
          </w:tcPr>
          <w:p>
            <w:pPr>
              <w:widowControl/>
              <w:spacing w:line="240" w:lineRule="exact"/>
              <w:jc w:val="left"/>
              <w:rPr>
                <w:kern w:val="0"/>
                <w:szCs w:val="21"/>
              </w:rPr>
            </w:pPr>
          </w:p>
        </w:tc>
        <w:tc>
          <w:tcPr>
            <w:tcW w:w="289" w:type="pct"/>
            <w:vMerge w:val="continue"/>
            <w:shd w:val="clear" w:color="auto" w:fill="auto"/>
            <w:noWrap w:val="0"/>
            <w:vAlign w:val="center"/>
          </w:tcPr>
          <w:p>
            <w:pPr>
              <w:widowControl/>
              <w:spacing w:line="240" w:lineRule="exact"/>
              <w:jc w:val="left"/>
              <w:rPr>
                <w:kern w:val="0"/>
                <w:szCs w:val="21"/>
              </w:rPr>
            </w:pPr>
          </w:p>
        </w:tc>
        <w:tc>
          <w:tcPr>
            <w:tcW w:w="370"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54"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2049"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7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669"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294"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289"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370"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54"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2049"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7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669"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294" w:type="pct"/>
            <w:vMerge w:val="continue"/>
            <w:shd w:val="clear" w:color="auto" w:fill="auto"/>
            <w:noWrap w:val="0"/>
            <w:vAlign w:val="center"/>
          </w:tcPr>
          <w:p>
            <w:pPr>
              <w:widowControl/>
              <w:spacing w:line="240" w:lineRule="exact"/>
              <w:jc w:val="left"/>
              <w:rPr>
                <w:kern w:val="0"/>
                <w:szCs w:val="21"/>
              </w:rPr>
            </w:pPr>
          </w:p>
        </w:tc>
        <w:tc>
          <w:tcPr>
            <w:tcW w:w="289" w:type="pct"/>
            <w:vMerge w:val="continue"/>
            <w:shd w:val="clear" w:color="auto" w:fill="auto"/>
            <w:noWrap w:val="0"/>
            <w:vAlign w:val="center"/>
          </w:tcPr>
          <w:p>
            <w:pPr>
              <w:widowControl/>
              <w:spacing w:line="240" w:lineRule="exact"/>
              <w:jc w:val="left"/>
              <w:rPr>
                <w:kern w:val="0"/>
                <w:szCs w:val="21"/>
              </w:rPr>
            </w:pPr>
          </w:p>
        </w:tc>
        <w:tc>
          <w:tcPr>
            <w:tcW w:w="370"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54"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2049" w:type="pct"/>
            <w:vMerge w:val="continue"/>
            <w:noWrap w:val="0"/>
            <w:vAlign w:val="center"/>
          </w:tcPr>
          <w:p>
            <w:pPr>
              <w:widowControl/>
              <w:spacing w:line="240" w:lineRule="exact"/>
              <w:jc w:val="left"/>
              <w:rPr>
                <w:kern w:val="0"/>
                <w:szCs w:val="21"/>
              </w:rPr>
            </w:pPr>
          </w:p>
        </w:tc>
        <w:tc>
          <w:tcPr>
            <w:tcW w:w="37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669"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294" w:type="pct"/>
            <w:vMerge w:val="continue"/>
            <w:shd w:val="clear" w:color="auto" w:fill="auto"/>
            <w:noWrap w:val="0"/>
            <w:vAlign w:val="center"/>
          </w:tcPr>
          <w:p>
            <w:pPr>
              <w:widowControl/>
              <w:spacing w:line="240" w:lineRule="exact"/>
              <w:jc w:val="left"/>
              <w:rPr>
                <w:kern w:val="0"/>
                <w:szCs w:val="21"/>
              </w:rPr>
            </w:pPr>
          </w:p>
        </w:tc>
        <w:tc>
          <w:tcPr>
            <w:tcW w:w="289" w:type="pct"/>
            <w:vMerge w:val="continue"/>
            <w:shd w:val="clear" w:color="auto" w:fill="auto"/>
            <w:noWrap w:val="0"/>
            <w:vAlign w:val="center"/>
          </w:tcPr>
          <w:p>
            <w:pPr>
              <w:widowControl/>
              <w:spacing w:line="240" w:lineRule="exact"/>
              <w:jc w:val="left"/>
              <w:rPr>
                <w:kern w:val="0"/>
                <w:szCs w:val="21"/>
              </w:rPr>
            </w:pPr>
          </w:p>
        </w:tc>
        <w:tc>
          <w:tcPr>
            <w:tcW w:w="370"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54"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2049" w:type="pct"/>
            <w:vMerge w:val="continue"/>
            <w:noWrap w:val="0"/>
            <w:vAlign w:val="center"/>
          </w:tcPr>
          <w:p>
            <w:pPr>
              <w:widowControl/>
              <w:spacing w:line="240" w:lineRule="exact"/>
              <w:jc w:val="left"/>
              <w:rPr>
                <w:kern w:val="0"/>
                <w:szCs w:val="21"/>
              </w:rPr>
            </w:pPr>
          </w:p>
        </w:tc>
        <w:tc>
          <w:tcPr>
            <w:tcW w:w="37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669"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294" w:type="pct"/>
            <w:vMerge w:val="continue"/>
            <w:shd w:val="clear" w:color="auto" w:fill="auto"/>
            <w:noWrap w:val="0"/>
            <w:vAlign w:val="center"/>
          </w:tcPr>
          <w:p>
            <w:pPr>
              <w:widowControl/>
              <w:spacing w:line="240" w:lineRule="exact"/>
              <w:jc w:val="left"/>
              <w:rPr>
                <w:kern w:val="0"/>
                <w:szCs w:val="21"/>
              </w:rPr>
            </w:pPr>
          </w:p>
        </w:tc>
        <w:tc>
          <w:tcPr>
            <w:tcW w:w="289" w:type="pct"/>
            <w:vMerge w:val="continue"/>
            <w:shd w:val="clear" w:color="auto" w:fill="auto"/>
            <w:noWrap w:val="0"/>
            <w:vAlign w:val="center"/>
          </w:tcPr>
          <w:p>
            <w:pPr>
              <w:widowControl/>
              <w:spacing w:line="240" w:lineRule="exact"/>
              <w:jc w:val="left"/>
              <w:rPr>
                <w:kern w:val="0"/>
                <w:szCs w:val="21"/>
              </w:rPr>
            </w:pPr>
          </w:p>
        </w:tc>
        <w:tc>
          <w:tcPr>
            <w:tcW w:w="370"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54"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2049" w:type="pct"/>
            <w:vMerge w:val="continue"/>
            <w:noWrap w:val="0"/>
            <w:vAlign w:val="center"/>
          </w:tcPr>
          <w:p>
            <w:pPr>
              <w:widowControl/>
              <w:spacing w:line="240" w:lineRule="exact"/>
              <w:jc w:val="left"/>
              <w:rPr>
                <w:kern w:val="0"/>
                <w:szCs w:val="21"/>
              </w:rPr>
            </w:pPr>
          </w:p>
        </w:tc>
        <w:tc>
          <w:tcPr>
            <w:tcW w:w="37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669"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294" w:type="pct"/>
            <w:vMerge w:val="continue"/>
            <w:shd w:val="clear" w:color="auto" w:fill="auto"/>
            <w:noWrap w:val="0"/>
            <w:vAlign w:val="center"/>
          </w:tcPr>
          <w:p>
            <w:pPr>
              <w:widowControl/>
              <w:spacing w:line="240" w:lineRule="exact"/>
              <w:jc w:val="left"/>
              <w:rPr>
                <w:kern w:val="0"/>
                <w:szCs w:val="21"/>
              </w:rPr>
            </w:pPr>
          </w:p>
        </w:tc>
        <w:tc>
          <w:tcPr>
            <w:tcW w:w="289" w:type="pct"/>
            <w:vMerge w:val="continue"/>
            <w:shd w:val="clear" w:color="auto" w:fill="auto"/>
            <w:noWrap w:val="0"/>
            <w:vAlign w:val="center"/>
          </w:tcPr>
          <w:p>
            <w:pPr>
              <w:widowControl/>
              <w:spacing w:line="240" w:lineRule="exact"/>
              <w:jc w:val="left"/>
              <w:rPr>
                <w:kern w:val="0"/>
                <w:szCs w:val="21"/>
              </w:rPr>
            </w:pPr>
          </w:p>
        </w:tc>
        <w:tc>
          <w:tcPr>
            <w:tcW w:w="370"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54"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2049"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73"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10</w:t>
            </w:r>
          </w:p>
        </w:tc>
        <w:tc>
          <w:tcPr>
            <w:tcW w:w="669"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3957"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73"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93</w:t>
            </w:r>
          </w:p>
        </w:tc>
        <w:tc>
          <w:tcPr>
            <w:tcW w:w="669"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hint="eastAsia" w:eastAsia="方正黑体简体"/>
          <w:sz w:val="32"/>
          <w:szCs w:val="32"/>
        </w:rPr>
        <w:sectPr>
          <w:pgSz w:w="11906" w:h="16838"/>
          <w:pgMar w:top="1440" w:right="1800" w:bottom="1440" w:left="1800" w:header="851" w:footer="992" w:gutter="0"/>
          <w:cols w:space="425"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lang w:val="en-US" w:eastAsia="zh-CN"/>
        </w:rPr>
        <w:t>2</w:t>
      </w:r>
      <w:r>
        <w:rPr>
          <w:rFonts w:hint="eastAsia" w:eastAsia="方正小标宋简体"/>
          <w:color w:val="000000"/>
          <w:spacing w:val="-12"/>
          <w:kern w:val="0"/>
          <w:sz w:val="44"/>
          <w:szCs w:val="44"/>
        </w:rPr>
        <w:t>年度乐至县项目支出绩效目标完成情况表</w:t>
      </w:r>
    </w:p>
    <w:p>
      <w:pPr>
        <w:pStyle w:val="2"/>
        <w:spacing w:after="0" w:line="240" w:lineRule="exact"/>
        <w:rPr>
          <w:rFonts w:ascii="宋体"/>
        </w:rPr>
      </w:pPr>
    </w:p>
    <w:tbl>
      <w:tblPr>
        <w:tblStyle w:val="4"/>
        <w:tblW w:w="918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49"/>
        <w:gridCol w:w="827"/>
        <w:gridCol w:w="755"/>
        <w:gridCol w:w="1794"/>
        <w:gridCol w:w="1140"/>
        <w:gridCol w:w="1845"/>
        <w:gridCol w:w="197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8333" w:type="dxa"/>
            <w:gridSpan w:val="6"/>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lang w:val="en-US" w:eastAsia="zh-CN"/>
              </w:rPr>
              <w:t>乐至县红十字会专项工作经费</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827" w:type="dxa"/>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755" w:type="dxa"/>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2934" w:type="dxa"/>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3817" w:type="dxa"/>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noWrap/>
            <w:vAlign w:val="center"/>
          </w:tcPr>
          <w:p>
            <w:pPr>
              <w:widowControl/>
              <w:spacing w:line="240" w:lineRule="exact"/>
              <w:jc w:val="center"/>
              <w:rPr>
                <w:color w:val="000000"/>
                <w:kern w:val="0"/>
                <w:szCs w:val="21"/>
              </w:rPr>
            </w:pPr>
            <w:r>
              <w:rPr>
                <w:rFonts w:hint="eastAsia"/>
                <w:color w:val="000000"/>
                <w:kern w:val="0"/>
                <w:szCs w:val="21"/>
              </w:rPr>
              <w:t>□</w:t>
            </w:r>
          </w:p>
        </w:tc>
        <w:tc>
          <w:tcPr>
            <w:tcW w:w="755" w:type="dxa"/>
            <w:noWrap/>
            <w:vAlign w:val="center"/>
          </w:tcPr>
          <w:p>
            <w:pPr>
              <w:spacing w:line="240" w:lineRule="exact"/>
              <w:jc w:val="center"/>
              <w:rPr>
                <w:szCs w:val="21"/>
              </w:rPr>
            </w:pPr>
            <w:r>
              <w:rPr>
                <w:rFonts w:hint="eastAsia"/>
                <w:color w:val="000000"/>
                <w:kern w:val="0"/>
                <w:szCs w:val="21"/>
              </w:rPr>
              <w:t>□</w:t>
            </w:r>
          </w:p>
        </w:tc>
        <w:tc>
          <w:tcPr>
            <w:tcW w:w="2934" w:type="dxa"/>
            <w:gridSpan w:val="2"/>
            <w:noWrap/>
            <w:vAlign w:val="center"/>
          </w:tcPr>
          <w:p>
            <w:pPr>
              <w:spacing w:line="240" w:lineRule="exact"/>
              <w:jc w:val="center"/>
              <w:rPr>
                <w:szCs w:val="21"/>
              </w:rPr>
            </w:pPr>
            <w:r>
              <w:rPr>
                <w:rFonts w:hint="eastAsia"/>
                <w:color w:val="000000"/>
                <w:kern w:val="0"/>
                <w:szCs w:val="21"/>
              </w:rPr>
              <w:t>□</w:t>
            </w:r>
          </w:p>
        </w:tc>
        <w:tc>
          <w:tcPr>
            <w:tcW w:w="3817" w:type="dxa"/>
            <w:gridSpan w:val="2"/>
            <w:noWrap/>
            <w:vAlign w:val="center"/>
          </w:tcPr>
          <w:p>
            <w:pPr>
              <w:spacing w:line="240" w:lineRule="exact"/>
              <w:jc w:val="center"/>
              <w:rPr>
                <w:szCs w:val="21"/>
              </w:rPr>
            </w:pPr>
            <w:r>
              <w:rPr>
                <w:rFonts w:hint="eastAsia"/>
                <w:color w:val="000000"/>
                <w:kern w:val="0"/>
                <w:szCs w:val="21"/>
              </w:rPr>
              <w:sym w:font="Wingdings 2" w:char="0052"/>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4516" w:type="dxa"/>
            <w:gridSpan w:val="4"/>
            <w:noWrap/>
            <w:vAlign w:val="center"/>
          </w:tcPr>
          <w:p>
            <w:pPr>
              <w:widowControl/>
              <w:spacing w:line="240" w:lineRule="exact"/>
              <w:jc w:val="center"/>
              <w:rPr>
                <w:color w:val="000000"/>
                <w:kern w:val="0"/>
                <w:szCs w:val="21"/>
              </w:rPr>
            </w:pPr>
            <w:r>
              <w:rPr>
                <w:rFonts w:hint="eastAsia"/>
                <w:color w:val="000000"/>
                <w:kern w:val="0"/>
                <w:szCs w:val="21"/>
                <w:lang w:val="en-US" w:eastAsia="zh-CN"/>
              </w:rPr>
              <w:t>乐至县红十字会</w:t>
            </w:r>
            <w:r>
              <w:rPr>
                <w:rFonts w:hint="eastAsia"/>
                <w:color w:val="000000"/>
                <w:kern w:val="0"/>
                <w:szCs w:val="21"/>
              </w:rPr>
              <w:t>　</w:t>
            </w:r>
          </w:p>
        </w:tc>
        <w:tc>
          <w:tcPr>
            <w:tcW w:w="1845" w:type="dxa"/>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1972"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199001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849" w:type="dxa"/>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827"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755" w:type="dxa"/>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百元</w:t>
            </w:r>
            <w:r>
              <w:rPr>
                <w:color w:val="000000"/>
                <w:kern w:val="0"/>
                <w:szCs w:val="21"/>
              </w:rPr>
              <w:t>)</w:t>
            </w:r>
          </w:p>
        </w:tc>
        <w:tc>
          <w:tcPr>
            <w:tcW w:w="1794" w:type="dxa"/>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百元</w:t>
            </w:r>
            <w:r>
              <w:rPr>
                <w:color w:val="000000"/>
                <w:kern w:val="0"/>
                <w:szCs w:val="21"/>
              </w:rPr>
              <w:t>)</w:t>
            </w:r>
          </w:p>
        </w:tc>
        <w:tc>
          <w:tcPr>
            <w:tcW w:w="1140"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1845"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972"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75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4000</w:t>
            </w:r>
          </w:p>
        </w:tc>
        <w:tc>
          <w:tcPr>
            <w:tcW w:w="1794"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1200</w:t>
            </w:r>
          </w:p>
        </w:tc>
        <w:tc>
          <w:tcPr>
            <w:tcW w:w="1140" w:type="dxa"/>
            <w:noWrap/>
            <w:vAlign w:val="center"/>
          </w:tcPr>
          <w:p>
            <w:pPr>
              <w:widowControl/>
              <w:spacing w:line="240" w:lineRule="exact"/>
              <w:ind w:firstLine="210" w:firstLineChars="100"/>
              <w:jc w:val="left"/>
              <w:rPr>
                <w:rFonts w:hint="default" w:eastAsia="宋体"/>
                <w:color w:val="000000"/>
                <w:kern w:val="0"/>
                <w:szCs w:val="21"/>
                <w:lang w:val="en-US" w:eastAsia="zh-CN"/>
              </w:rPr>
            </w:pPr>
          </w:p>
        </w:tc>
        <w:tc>
          <w:tcPr>
            <w:tcW w:w="1845" w:type="dxa"/>
            <w:noWrap/>
            <w:vAlign w:val="center"/>
          </w:tcPr>
          <w:p>
            <w:pPr>
              <w:widowControl/>
              <w:spacing w:line="240" w:lineRule="exact"/>
              <w:ind w:firstLine="210" w:firstLineChars="100"/>
              <w:jc w:val="left"/>
              <w:rPr>
                <w:rFonts w:hint="eastAsia" w:eastAsia="宋体"/>
                <w:color w:val="000000"/>
                <w:kern w:val="0"/>
                <w:szCs w:val="21"/>
                <w:lang w:val="en-US" w:eastAsia="zh-CN"/>
              </w:rPr>
            </w:pPr>
          </w:p>
        </w:tc>
        <w:tc>
          <w:tcPr>
            <w:tcW w:w="1972" w:type="dxa"/>
            <w:noWrap/>
            <w:vAlign w:val="center"/>
          </w:tcPr>
          <w:p>
            <w:pPr>
              <w:widowControl/>
              <w:spacing w:line="240" w:lineRule="exact"/>
              <w:ind w:firstLine="210" w:firstLineChars="100"/>
              <w:jc w:val="left"/>
              <w:rPr>
                <w:rFonts w:hint="eastAsia" w:eastAsia="宋体"/>
                <w:color w:val="000000"/>
                <w:kern w:val="0"/>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75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4000</w:t>
            </w:r>
          </w:p>
        </w:tc>
        <w:tc>
          <w:tcPr>
            <w:tcW w:w="1794"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1200</w:t>
            </w:r>
          </w:p>
        </w:tc>
        <w:tc>
          <w:tcPr>
            <w:tcW w:w="1140" w:type="dxa"/>
            <w:noWrap/>
            <w:vAlign w:val="center"/>
          </w:tcPr>
          <w:p>
            <w:pPr>
              <w:widowControl/>
              <w:spacing w:line="240" w:lineRule="exact"/>
              <w:jc w:val="left"/>
              <w:rPr>
                <w:rFonts w:hint="eastAsia" w:eastAsia="宋体"/>
                <w:color w:val="000000"/>
                <w:kern w:val="0"/>
                <w:szCs w:val="21"/>
                <w:lang w:val="en-US" w:eastAsia="zh-CN"/>
              </w:rPr>
            </w:pPr>
          </w:p>
        </w:tc>
        <w:tc>
          <w:tcPr>
            <w:tcW w:w="1845" w:type="dxa"/>
            <w:noWrap/>
            <w:vAlign w:val="center"/>
          </w:tcPr>
          <w:p>
            <w:pPr>
              <w:widowControl/>
              <w:spacing w:line="240" w:lineRule="exact"/>
              <w:jc w:val="left"/>
              <w:rPr>
                <w:rFonts w:hint="eastAsia" w:eastAsia="宋体"/>
                <w:color w:val="000000"/>
                <w:kern w:val="0"/>
                <w:szCs w:val="21"/>
                <w:lang w:val="en-US" w:eastAsia="zh-CN"/>
              </w:rPr>
            </w:pPr>
          </w:p>
        </w:tc>
        <w:tc>
          <w:tcPr>
            <w:tcW w:w="1972" w:type="dxa"/>
            <w:noWrap/>
            <w:vAlign w:val="center"/>
          </w:tcPr>
          <w:p>
            <w:pPr>
              <w:widowControl/>
              <w:spacing w:line="240" w:lineRule="exact"/>
              <w:jc w:val="left"/>
              <w:rPr>
                <w:rFonts w:hint="eastAsia" w:eastAsia="宋体"/>
                <w:color w:val="000000"/>
                <w:kern w:val="0"/>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75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 xml:space="preserve"> 0</w:t>
            </w:r>
          </w:p>
        </w:tc>
        <w:tc>
          <w:tcPr>
            <w:tcW w:w="1794"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 xml:space="preserve"> 0</w:t>
            </w:r>
          </w:p>
        </w:tc>
        <w:tc>
          <w:tcPr>
            <w:tcW w:w="1140" w:type="dxa"/>
            <w:noWrap/>
            <w:vAlign w:val="center"/>
          </w:tcPr>
          <w:p>
            <w:pPr>
              <w:widowControl/>
              <w:spacing w:line="240" w:lineRule="exact"/>
              <w:jc w:val="left"/>
              <w:rPr>
                <w:rFonts w:hint="eastAsia" w:eastAsia="宋体"/>
                <w:color w:val="000000"/>
                <w:kern w:val="0"/>
                <w:szCs w:val="21"/>
                <w:lang w:val="en-US" w:eastAsia="zh-CN"/>
              </w:rPr>
            </w:pPr>
          </w:p>
        </w:tc>
        <w:tc>
          <w:tcPr>
            <w:tcW w:w="1845" w:type="dxa"/>
            <w:noWrap/>
            <w:vAlign w:val="center"/>
          </w:tcPr>
          <w:p>
            <w:pPr>
              <w:widowControl/>
              <w:spacing w:line="240" w:lineRule="exact"/>
              <w:jc w:val="left"/>
              <w:rPr>
                <w:rFonts w:hint="eastAsia" w:eastAsia="宋体"/>
                <w:color w:val="000000"/>
                <w:kern w:val="0"/>
                <w:szCs w:val="21"/>
                <w:lang w:val="en-US" w:eastAsia="zh-CN"/>
              </w:rPr>
            </w:pPr>
          </w:p>
        </w:tc>
        <w:tc>
          <w:tcPr>
            <w:tcW w:w="1972" w:type="dxa"/>
            <w:noWrap/>
            <w:vAlign w:val="center"/>
          </w:tcPr>
          <w:p>
            <w:pPr>
              <w:widowControl/>
              <w:spacing w:line="240" w:lineRule="exact"/>
              <w:jc w:val="left"/>
              <w:rPr>
                <w:rFonts w:hint="eastAsia" w:eastAsia="宋体"/>
                <w:color w:val="000000"/>
                <w:kern w:val="0"/>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849" w:type="dxa"/>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827"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755" w:type="dxa"/>
            <w:noWrap/>
            <w:vAlign w:val="center"/>
          </w:tcPr>
          <w:p>
            <w:pPr>
              <w:widowControl/>
              <w:spacing w:line="240" w:lineRule="exact"/>
              <w:jc w:val="center"/>
              <w:rPr>
                <w:color w:val="000000"/>
                <w:kern w:val="0"/>
                <w:szCs w:val="21"/>
              </w:rPr>
            </w:pPr>
            <w:r>
              <w:rPr>
                <w:rFonts w:hint="eastAsia"/>
                <w:color w:val="000000"/>
                <w:kern w:val="0"/>
                <w:szCs w:val="21"/>
              </w:rPr>
              <w:t>合计</w:t>
            </w:r>
          </w:p>
        </w:tc>
        <w:tc>
          <w:tcPr>
            <w:tcW w:w="1794" w:type="dxa"/>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1140" w:type="dxa"/>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1845" w:type="dxa"/>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1972" w:type="dxa"/>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百元</w:t>
            </w:r>
            <w:r>
              <w:rPr>
                <w:color w:val="000000"/>
                <w:kern w:val="0"/>
                <w:szCs w:val="21"/>
              </w:rPr>
              <w:t>)</w:t>
            </w:r>
          </w:p>
        </w:tc>
        <w:tc>
          <w:tcPr>
            <w:tcW w:w="755" w:type="dxa"/>
            <w:noWrap/>
            <w:vAlign w:val="center"/>
          </w:tcPr>
          <w:p>
            <w:pPr>
              <w:widowControl/>
              <w:spacing w:line="240" w:lineRule="exact"/>
              <w:jc w:val="left"/>
              <w:rPr>
                <w:rFonts w:hint="default"/>
                <w:color w:val="000000"/>
                <w:kern w:val="0"/>
                <w:szCs w:val="21"/>
                <w:lang w:val="en-US"/>
              </w:rPr>
            </w:pPr>
            <w:r>
              <w:rPr>
                <w:rFonts w:hint="eastAsia"/>
                <w:color w:val="000000"/>
                <w:kern w:val="0"/>
                <w:szCs w:val="21"/>
                <w:lang w:val="en-US" w:eastAsia="zh-CN"/>
              </w:rPr>
              <w:t>4000</w:t>
            </w:r>
          </w:p>
        </w:tc>
        <w:tc>
          <w:tcPr>
            <w:tcW w:w="1794" w:type="dxa"/>
            <w:noWrap/>
            <w:vAlign w:val="center"/>
          </w:tcPr>
          <w:p>
            <w:pPr>
              <w:widowControl/>
              <w:spacing w:line="240" w:lineRule="exact"/>
              <w:jc w:val="left"/>
              <w:rPr>
                <w:rFonts w:hint="default"/>
                <w:color w:val="000000"/>
                <w:kern w:val="0"/>
                <w:szCs w:val="21"/>
                <w:lang w:val="en-US"/>
              </w:rPr>
            </w:pPr>
            <w:r>
              <w:rPr>
                <w:rFonts w:hint="eastAsia"/>
                <w:color w:val="000000"/>
                <w:kern w:val="0"/>
                <w:szCs w:val="21"/>
                <w:lang w:val="en-US" w:eastAsia="zh-CN"/>
              </w:rPr>
              <w:t>4000</w:t>
            </w:r>
          </w:p>
        </w:tc>
        <w:tc>
          <w:tcPr>
            <w:tcW w:w="114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84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972"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百元</w:t>
            </w:r>
            <w:r>
              <w:rPr>
                <w:color w:val="000000"/>
                <w:kern w:val="0"/>
                <w:szCs w:val="21"/>
              </w:rPr>
              <w:t>)</w:t>
            </w:r>
          </w:p>
        </w:tc>
        <w:tc>
          <w:tcPr>
            <w:tcW w:w="755" w:type="dxa"/>
            <w:noWrap/>
            <w:vAlign w:val="center"/>
          </w:tcPr>
          <w:p>
            <w:pPr>
              <w:widowControl/>
              <w:spacing w:line="240" w:lineRule="exact"/>
              <w:jc w:val="left"/>
              <w:rPr>
                <w:rFonts w:hint="default"/>
                <w:color w:val="000000"/>
                <w:kern w:val="0"/>
                <w:szCs w:val="21"/>
                <w:lang w:val="en-US"/>
              </w:rPr>
            </w:pPr>
            <w:r>
              <w:rPr>
                <w:rFonts w:hint="eastAsia"/>
                <w:color w:val="000000"/>
                <w:kern w:val="0"/>
                <w:szCs w:val="21"/>
                <w:lang w:val="en-US" w:eastAsia="zh-CN"/>
              </w:rPr>
              <w:t>1200</w:t>
            </w:r>
          </w:p>
        </w:tc>
        <w:tc>
          <w:tcPr>
            <w:tcW w:w="1794" w:type="dxa"/>
            <w:noWrap/>
            <w:vAlign w:val="center"/>
          </w:tcPr>
          <w:p>
            <w:pPr>
              <w:widowControl/>
              <w:spacing w:line="240" w:lineRule="exact"/>
              <w:jc w:val="left"/>
              <w:rPr>
                <w:rFonts w:hint="default"/>
                <w:color w:val="000000"/>
                <w:kern w:val="0"/>
                <w:szCs w:val="21"/>
                <w:lang w:val="en-US"/>
              </w:rPr>
            </w:pPr>
            <w:r>
              <w:rPr>
                <w:rFonts w:hint="eastAsia"/>
                <w:color w:val="000000"/>
                <w:kern w:val="0"/>
                <w:szCs w:val="21"/>
                <w:lang w:val="en-US" w:eastAsia="zh-CN"/>
              </w:rPr>
              <w:t>1200</w:t>
            </w:r>
          </w:p>
        </w:tc>
        <w:tc>
          <w:tcPr>
            <w:tcW w:w="114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84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972"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755" w:type="dxa"/>
            <w:noWrap/>
            <w:vAlign w:val="center"/>
          </w:tcPr>
          <w:p>
            <w:pPr>
              <w:widowControl/>
              <w:spacing w:line="240" w:lineRule="exact"/>
              <w:jc w:val="left"/>
              <w:rPr>
                <w:rFonts w:hint="eastAsia" w:eastAsia="宋体"/>
                <w:color w:val="000000"/>
                <w:kern w:val="0"/>
                <w:szCs w:val="21"/>
                <w:lang w:val="en-US" w:eastAsia="zh-CN"/>
              </w:rPr>
            </w:pPr>
          </w:p>
        </w:tc>
        <w:tc>
          <w:tcPr>
            <w:tcW w:w="1794" w:type="dxa"/>
            <w:noWrap/>
            <w:vAlign w:val="center"/>
          </w:tcPr>
          <w:p>
            <w:pPr>
              <w:widowControl/>
              <w:spacing w:line="240" w:lineRule="exact"/>
              <w:jc w:val="left"/>
              <w:rPr>
                <w:rFonts w:hint="eastAsia" w:eastAsia="宋体"/>
                <w:color w:val="000000"/>
                <w:kern w:val="0"/>
                <w:szCs w:val="21"/>
                <w:lang w:val="en-US" w:eastAsia="zh-CN"/>
              </w:rPr>
            </w:pPr>
          </w:p>
        </w:tc>
        <w:tc>
          <w:tcPr>
            <w:tcW w:w="1140" w:type="dxa"/>
            <w:noWrap/>
            <w:vAlign w:val="center"/>
          </w:tcPr>
          <w:p>
            <w:pPr>
              <w:widowControl/>
              <w:spacing w:line="240" w:lineRule="exact"/>
              <w:jc w:val="left"/>
              <w:rPr>
                <w:rFonts w:hint="eastAsia" w:eastAsia="宋体"/>
                <w:color w:val="000000"/>
                <w:kern w:val="0"/>
                <w:szCs w:val="21"/>
                <w:lang w:val="en-US" w:eastAsia="zh-CN"/>
              </w:rPr>
            </w:pPr>
          </w:p>
        </w:tc>
        <w:tc>
          <w:tcPr>
            <w:tcW w:w="1845" w:type="dxa"/>
            <w:noWrap/>
            <w:vAlign w:val="center"/>
          </w:tcPr>
          <w:p>
            <w:pPr>
              <w:widowControl/>
              <w:spacing w:line="240" w:lineRule="exact"/>
              <w:jc w:val="left"/>
              <w:rPr>
                <w:rFonts w:hint="eastAsia" w:eastAsia="宋体"/>
                <w:color w:val="000000"/>
                <w:kern w:val="0"/>
                <w:szCs w:val="21"/>
                <w:lang w:val="en-US" w:eastAsia="zh-CN"/>
              </w:rPr>
            </w:pPr>
          </w:p>
        </w:tc>
        <w:tc>
          <w:tcPr>
            <w:tcW w:w="1972" w:type="dxa"/>
            <w:noWrap/>
            <w:vAlign w:val="center"/>
          </w:tcPr>
          <w:p>
            <w:pPr>
              <w:widowControl/>
              <w:spacing w:line="240" w:lineRule="exact"/>
              <w:jc w:val="left"/>
              <w:rPr>
                <w:rFonts w:hint="eastAsia" w:eastAsia="宋体"/>
                <w:color w:val="000000"/>
                <w:kern w:val="0"/>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755" w:type="dxa"/>
            <w:noWrap/>
            <w:vAlign w:val="center"/>
          </w:tcPr>
          <w:p>
            <w:pPr>
              <w:widowControl/>
              <w:spacing w:line="240" w:lineRule="exact"/>
              <w:jc w:val="left"/>
              <w:rPr>
                <w:rFonts w:hint="eastAsia" w:eastAsia="宋体"/>
                <w:color w:val="000000"/>
                <w:kern w:val="0"/>
                <w:szCs w:val="21"/>
                <w:lang w:val="en-US" w:eastAsia="zh-CN"/>
              </w:rPr>
            </w:pPr>
          </w:p>
        </w:tc>
        <w:tc>
          <w:tcPr>
            <w:tcW w:w="1794" w:type="dxa"/>
            <w:noWrap/>
            <w:vAlign w:val="center"/>
          </w:tcPr>
          <w:p>
            <w:pPr>
              <w:widowControl/>
              <w:spacing w:line="240" w:lineRule="exact"/>
              <w:jc w:val="left"/>
              <w:rPr>
                <w:rFonts w:hint="eastAsia" w:eastAsia="宋体"/>
                <w:color w:val="000000"/>
                <w:kern w:val="0"/>
                <w:szCs w:val="21"/>
                <w:lang w:val="en-US" w:eastAsia="zh-CN"/>
              </w:rPr>
            </w:pPr>
          </w:p>
        </w:tc>
        <w:tc>
          <w:tcPr>
            <w:tcW w:w="1140" w:type="dxa"/>
            <w:noWrap/>
            <w:vAlign w:val="center"/>
          </w:tcPr>
          <w:p>
            <w:pPr>
              <w:widowControl/>
              <w:spacing w:line="240" w:lineRule="exact"/>
              <w:jc w:val="left"/>
              <w:rPr>
                <w:rFonts w:hint="eastAsia" w:eastAsia="宋体"/>
                <w:color w:val="000000"/>
                <w:kern w:val="0"/>
                <w:szCs w:val="21"/>
                <w:lang w:val="en-US" w:eastAsia="zh-CN"/>
              </w:rPr>
            </w:pPr>
          </w:p>
        </w:tc>
        <w:tc>
          <w:tcPr>
            <w:tcW w:w="1845" w:type="dxa"/>
            <w:noWrap/>
            <w:vAlign w:val="center"/>
          </w:tcPr>
          <w:p>
            <w:pPr>
              <w:widowControl/>
              <w:spacing w:line="240" w:lineRule="exact"/>
              <w:jc w:val="left"/>
              <w:rPr>
                <w:rFonts w:hint="eastAsia" w:eastAsia="宋体"/>
                <w:color w:val="000000"/>
                <w:kern w:val="0"/>
                <w:szCs w:val="21"/>
                <w:lang w:val="en-US" w:eastAsia="zh-CN"/>
              </w:rPr>
            </w:pPr>
          </w:p>
        </w:tc>
        <w:tc>
          <w:tcPr>
            <w:tcW w:w="1972" w:type="dxa"/>
            <w:noWrap/>
            <w:vAlign w:val="center"/>
          </w:tcPr>
          <w:p>
            <w:pPr>
              <w:widowControl/>
              <w:spacing w:line="240" w:lineRule="exact"/>
              <w:jc w:val="left"/>
              <w:rPr>
                <w:rFonts w:hint="eastAsia" w:eastAsia="宋体"/>
                <w:color w:val="000000"/>
                <w:kern w:val="0"/>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755" w:type="dxa"/>
            <w:noWrap/>
            <w:vAlign w:val="center"/>
          </w:tcPr>
          <w:p>
            <w:pPr>
              <w:widowControl/>
              <w:spacing w:line="240" w:lineRule="exact"/>
              <w:jc w:val="left"/>
              <w:rPr>
                <w:rFonts w:hint="eastAsia" w:eastAsia="宋体"/>
                <w:color w:val="000000"/>
                <w:kern w:val="0"/>
                <w:szCs w:val="21"/>
                <w:lang w:val="en-US" w:eastAsia="zh-CN"/>
              </w:rPr>
            </w:pPr>
          </w:p>
        </w:tc>
        <w:tc>
          <w:tcPr>
            <w:tcW w:w="1794" w:type="dxa"/>
            <w:noWrap/>
            <w:vAlign w:val="center"/>
          </w:tcPr>
          <w:p>
            <w:pPr>
              <w:widowControl/>
              <w:spacing w:line="240" w:lineRule="exact"/>
              <w:jc w:val="left"/>
              <w:rPr>
                <w:rFonts w:hint="eastAsia" w:eastAsia="宋体"/>
                <w:color w:val="000000"/>
                <w:kern w:val="0"/>
                <w:szCs w:val="21"/>
                <w:lang w:val="en-US" w:eastAsia="zh-CN"/>
              </w:rPr>
            </w:pPr>
          </w:p>
        </w:tc>
        <w:tc>
          <w:tcPr>
            <w:tcW w:w="1140" w:type="dxa"/>
            <w:noWrap/>
            <w:vAlign w:val="center"/>
          </w:tcPr>
          <w:p>
            <w:pPr>
              <w:widowControl/>
              <w:spacing w:line="240" w:lineRule="exact"/>
              <w:jc w:val="left"/>
              <w:rPr>
                <w:rFonts w:hint="eastAsia" w:eastAsia="宋体"/>
                <w:color w:val="000000"/>
                <w:kern w:val="0"/>
                <w:szCs w:val="21"/>
                <w:lang w:val="en-US" w:eastAsia="zh-CN"/>
              </w:rPr>
            </w:pPr>
          </w:p>
        </w:tc>
        <w:tc>
          <w:tcPr>
            <w:tcW w:w="1845" w:type="dxa"/>
            <w:noWrap/>
            <w:vAlign w:val="center"/>
          </w:tcPr>
          <w:p>
            <w:pPr>
              <w:widowControl/>
              <w:spacing w:line="240" w:lineRule="exact"/>
              <w:jc w:val="left"/>
              <w:rPr>
                <w:rFonts w:hint="eastAsia" w:eastAsia="宋体"/>
                <w:color w:val="000000"/>
                <w:kern w:val="0"/>
                <w:szCs w:val="21"/>
                <w:lang w:val="en-US" w:eastAsia="zh-CN"/>
              </w:rPr>
            </w:pPr>
          </w:p>
        </w:tc>
        <w:tc>
          <w:tcPr>
            <w:tcW w:w="1972" w:type="dxa"/>
            <w:noWrap/>
            <w:vAlign w:val="center"/>
          </w:tcPr>
          <w:p>
            <w:pPr>
              <w:widowControl/>
              <w:spacing w:line="240" w:lineRule="exact"/>
              <w:jc w:val="left"/>
              <w:rPr>
                <w:rFonts w:hint="default" w:eastAsia="宋体"/>
                <w:color w:val="000000"/>
                <w:kern w:val="0"/>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849"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1582"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2934"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3817"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1582" w:type="dxa"/>
            <w:gridSpan w:val="2"/>
            <w:noWrap/>
            <w:vAlign w:val="center"/>
          </w:tcPr>
          <w:p>
            <w:pPr>
              <w:widowControl/>
              <w:spacing w:line="240" w:lineRule="exact"/>
              <w:jc w:val="left"/>
              <w:rPr>
                <w:color w:val="000000"/>
                <w:kern w:val="0"/>
                <w:szCs w:val="21"/>
              </w:rPr>
            </w:pPr>
            <w:r>
              <w:rPr>
                <w:rFonts w:hint="eastAsia"/>
                <w:color w:val="000000"/>
                <w:kern w:val="0"/>
                <w:szCs w:val="21"/>
              </w:rPr>
              <w:t>目标</w:t>
            </w:r>
            <w:r>
              <w:rPr>
                <w:color w:val="000000"/>
                <w:kern w:val="0"/>
                <w:szCs w:val="21"/>
              </w:rPr>
              <w:t>1:</w:t>
            </w:r>
            <w:r>
              <w:rPr>
                <w:rFonts w:hint="eastAsia"/>
                <w:color w:val="000000"/>
                <w:kern w:val="0"/>
                <w:szCs w:val="21"/>
                <w:lang w:val="en-US" w:eastAsia="zh-CN"/>
              </w:rPr>
              <w:t>完成换届选举大会、保机构正常运行</w:t>
            </w:r>
            <w:r>
              <w:rPr>
                <w:rFonts w:hint="eastAsia"/>
                <w:color w:val="000000"/>
                <w:kern w:val="0"/>
                <w:szCs w:val="21"/>
              </w:rPr>
              <w:t>。</w:t>
            </w:r>
          </w:p>
        </w:tc>
        <w:tc>
          <w:tcPr>
            <w:tcW w:w="2934" w:type="dxa"/>
            <w:gridSpan w:val="2"/>
            <w:noWrap/>
            <w:vAlign w:val="center"/>
          </w:tcPr>
          <w:p>
            <w:pPr>
              <w:widowControl/>
              <w:spacing w:line="240" w:lineRule="exact"/>
              <w:jc w:val="center"/>
              <w:rPr>
                <w:color w:val="000000"/>
                <w:kern w:val="0"/>
                <w:szCs w:val="21"/>
              </w:rPr>
            </w:pPr>
            <w:r>
              <w:rPr>
                <w:rFonts w:hint="eastAsia"/>
                <w:color w:val="000000"/>
                <w:kern w:val="0"/>
                <w:szCs w:val="21"/>
                <w:lang w:val="en-US" w:eastAsia="zh-CN"/>
              </w:rPr>
              <w:t>已完成</w:t>
            </w:r>
            <w:r>
              <w:rPr>
                <w:rFonts w:hint="eastAsia"/>
                <w:color w:val="000000"/>
                <w:kern w:val="0"/>
                <w:szCs w:val="21"/>
              </w:rPr>
              <w:t>　</w:t>
            </w:r>
          </w:p>
        </w:tc>
        <w:tc>
          <w:tcPr>
            <w:tcW w:w="3817"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1582" w:type="dxa"/>
            <w:gridSpan w:val="2"/>
            <w:noWrap/>
            <w:vAlign w:val="center"/>
          </w:tcPr>
          <w:p>
            <w:pPr>
              <w:widowControl/>
              <w:spacing w:line="240" w:lineRule="exact"/>
              <w:jc w:val="left"/>
              <w:rPr>
                <w:color w:val="000000"/>
                <w:kern w:val="0"/>
                <w:szCs w:val="21"/>
              </w:rPr>
            </w:pPr>
            <w:r>
              <w:rPr>
                <w:rFonts w:hint="eastAsia"/>
                <w:color w:val="000000"/>
                <w:kern w:val="0"/>
                <w:szCs w:val="21"/>
              </w:rPr>
              <w:t>目标</w:t>
            </w:r>
            <w:r>
              <w:rPr>
                <w:color w:val="000000"/>
                <w:kern w:val="0"/>
                <w:szCs w:val="21"/>
              </w:rPr>
              <w:t>2:</w:t>
            </w:r>
            <w:r>
              <w:rPr>
                <w:rFonts w:hint="eastAsia"/>
                <w:color w:val="000000"/>
                <w:kern w:val="0"/>
                <w:szCs w:val="21"/>
              </w:rPr>
              <w:t>………</w:t>
            </w:r>
            <w:r>
              <w:rPr>
                <w:color w:val="000000"/>
                <w:kern w:val="0"/>
                <w:szCs w:val="21"/>
              </w:rPr>
              <w:t>.</w:t>
            </w:r>
          </w:p>
        </w:tc>
        <w:tc>
          <w:tcPr>
            <w:tcW w:w="2934"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3817"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1582" w:type="dxa"/>
            <w:gridSpan w:val="2"/>
            <w:noWrap/>
            <w:vAlign w:val="center"/>
          </w:tcPr>
          <w:p>
            <w:pPr>
              <w:widowControl/>
              <w:spacing w:line="240" w:lineRule="exact"/>
              <w:jc w:val="left"/>
              <w:rPr>
                <w:color w:val="000000"/>
                <w:kern w:val="0"/>
                <w:szCs w:val="21"/>
              </w:rPr>
            </w:pPr>
            <w:r>
              <w:rPr>
                <w:rFonts w:hint="eastAsia"/>
                <w:color w:val="000000"/>
                <w:kern w:val="0"/>
                <w:szCs w:val="21"/>
              </w:rPr>
              <w:t>目标</w:t>
            </w:r>
            <w:r>
              <w:rPr>
                <w:color w:val="000000"/>
                <w:kern w:val="0"/>
                <w:szCs w:val="21"/>
              </w:rPr>
              <w:t>3:</w:t>
            </w:r>
            <w:r>
              <w:rPr>
                <w:rFonts w:hint="eastAsia"/>
                <w:color w:val="000000"/>
                <w:kern w:val="0"/>
                <w:szCs w:val="21"/>
              </w:rPr>
              <w:t>………</w:t>
            </w:r>
            <w:r>
              <w:rPr>
                <w:color w:val="000000"/>
                <w:kern w:val="0"/>
                <w:szCs w:val="21"/>
              </w:rPr>
              <w:t>.</w:t>
            </w:r>
          </w:p>
        </w:tc>
        <w:tc>
          <w:tcPr>
            <w:tcW w:w="2934"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3817"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1582" w:type="dxa"/>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2934"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3817"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1582" w:type="dxa"/>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2934"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3817"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849" w:type="dxa"/>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827"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755" w:type="dxa"/>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1794" w:type="dxa"/>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1140"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845"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1972" w:type="dxa"/>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755" w:type="dxa"/>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1794" w:type="dxa"/>
            <w:noWrap/>
            <w:vAlign w:val="center"/>
          </w:tcPr>
          <w:p>
            <w:pPr>
              <w:keepNext w:val="0"/>
              <w:keepLines w:val="0"/>
              <w:widowControl/>
              <w:suppressLineNumbers w:val="0"/>
              <w:jc w:val="left"/>
              <w:textAlignment w:val="center"/>
              <w:rPr>
                <w:rFonts w:hint="default"/>
                <w:color w:val="000000"/>
                <w:kern w:val="0"/>
                <w:szCs w:val="21"/>
                <w:lang w:val="en-US"/>
              </w:rPr>
            </w:pPr>
            <w:r>
              <w:rPr>
                <w:rStyle w:val="6"/>
                <w:lang w:val="en-US" w:eastAsia="zh-CN" w:bidi="ar"/>
              </w:rPr>
              <w:t>指标</w:t>
            </w:r>
            <w:r>
              <w:rPr>
                <w:rStyle w:val="7"/>
                <w:rFonts w:eastAsia="宋体"/>
                <w:lang w:val="en-US" w:eastAsia="zh-CN" w:bidi="ar"/>
              </w:rPr>
              <w:t>1:</w:t>
            </w:r>
            <w:r>
              <w:rPr>
                <w:rStyle w:val="7"/>
                <w:rFonts w:hint="eastAsia"/>
                <w:lang w:val="en-US" w:eastAsia="zh-CN" w:bidi="ar"/>
              </w:rPr>
              <w:t>参会代表人数</w:t>
            </w:r>
          </w:p>
        </w:tc>
        <w:tc>
          <w:tcPr>
            <w:tcW w:w="1140" w:type="dxa"/>
            <w:noWrap/>
            <w:vAlign w:val="center"/>
          </w:tcPr>
          <w:p>
            <w:pPr>
              <w:keepNext w:val="0"/>
              <w:keepLines w:val="0"/>
              <w:widowControl/>
              <w:suppressLineNumbers w:val="0"/>
              <w:jc w:val="left"/>
              <w:textAlignment w:val="center"/>
              <w:rPr>
                <w:rFonts w:hint="default"/>
                <w:color w:val="000000"/>
                <w:kern w:val="0"/>
                <w:szCs w:val="21"/>
                <w:lang w:val="en-US"/>
              </w:rPr>
            </w:pPr>
            <w:r>
              <w:rPr>
                <w:rFonts w:hint="eastAsia" w:ascii="宋体" w:hAnsi="宋体" w:cs="宋体"/>
                <w:i w:val="0"/>
                <w:iCs w:val="0"/>
                <w:color w:val="000000"/>
                <w:kern w:val="0"/>
                <w:sz w:val="21"/>
                <w:szCs w:val="21"/>
                <w:u w:val="none"/>
                <w:lang w:val="en-US" w:eastAsia="zh-CN" w:bidi="ar"/>
              </w:rPr>
              <w:t>等于108人</w:t>
            </w:r>
          </w:p>
        </w:tc>
        <w:tc>
          <w:tcPr>
            <w:tcW w:w="1845" w:type="dxa"/>
            <w:noWrap/>
            <w:vAlign w:val="center"/>
          </w:tcPr>
          <w:p>
            <w:pPr>
              <w:keepNext w:val="0"/>
              <w:keepLines w:val="0"/>
              <w:widowControl/>
              <w:suppressLineNumbers w:val="0"/>
              <w:jc w:val="left"/>
              <w:textAlignment w:val="center"/>
              <w:rPr>
                <w:color w:val="000000"/>
                <w:kern w:val="0"/>
                <w:szCs w:val="21"/>
              </w:rPr>
            </w:pPr>
            <w:r>
              <w:rPr>
                <w:rFonts w:hint="eastAsia" w:ascii="宋体" w:hAnsi="宋体" w:eastAsia="宋体" w:cs="宋体"/>
                <w:i w:val="0"/>
                <w:iCs w:val="0"/>
                <w:color w:val="000000"/>
                <w:kern w:val="0"/>
                <w:sz w:val="21"/>
                <w:szCs w:val="21"/>
                <w:u w:val="none"/>
                <w:lang w:val="en-US" w:eastAsia="zh-CN" w:bidi="ar"/>
              </w:rPr>
              <w:t>已完成</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keepNext w:val="0"/>
              <w:keepLines w:val="0"/>
              <w:widowControl/>
              <w:suppressLineNumbers w:val="0"/>
              <w:jc w:val="left"/>
              <w:textAlignment w:val="center"/>
              <w:rPr>
                <w:rFonts w:hint="default"/>
                <w:color w:val="000000"/>
                <w:kern w:val="0"/>
                <w:szCs w:val="21"/>
                <w:lang w:val="en-US"/>
              </w:rPr>
            </w:pPr>
            <w:r>
              <w:rPr>
                <w:rStyle w:val="6"/>
                <w:lang w:val="en-US" w:eastAsia="zh-CN" w:bidi="ar"/>
              </w:rPr>
              <w:t>指标</w:t>
            </w:r>
            <w:r>
              <w:rPr>
                <w:rStyle w:val="7"/>
                <w:rFonts w:eastAsia="宋体"/>
                <w:lang w:val="en-US" w:eastAsia="zh-CN" w:bidi="ar"/>
              </w:rPr>
              <w:t>2:</w:t>
            </w:r>
            <w:r>
              <w:rPr>
                <w:rStyle w:val="7"/>
                <w:rFonts w:hint="eastAsia"/>
                <w:lang w:val="en-US" w:eastAsia="zh-CN" w:bidi="ar"/>
              </w:rPr>
              <w:t>志愿者活动次数</w:t>
            </w:r>
          </w:p>
        </w:tc>
        <w:tc>
          <w:tcPr>
            <w:tcW w:w="1140" w:type="dxa"/>
            <w:noWrap/>
            <w:vAlign w:val="center"/>
          </w:tcPr>
          <w:p>
            <w:pPr>
              <w:keepNext w:val="0"/>
              <w:keepLines w:val="0"/>
              <w:widowControl/>
              <w:suppressLineNumbers w:val="0"/>
              <w:jc w:val="left"/>
              <w:textAlignment w:val="center"/>
              <w:rPr>
                <w:rFonts w:hint="default" w:eastAsia="宋体"/>
                <w:color w:val="000000"/>
                <w:kern w:val="0"/>
                <w:szCs w:val="21"/>
                <w:lang w:val="en-US" w:eastAsia="zh-CN"/>
              </w:rPr>
            </w:pPr>
            <w:r>
              <w:rPr>
                <w:rFonts w:hint="eastAsia"/>
                <w:color w:val="000000"/>
                <w:kern w:val="0"/>
                <w:szCs w:val="21"/>
                <w:lang w:val="en-US" w:eastAsia="zh-CN"/>
              </w:rPr>
              <w:t>大于等于12次</w:t>
            </w:r>
          </w:p>
        </w:tc>
        <w:tc>
          <w:tcPr>
            <w:tcW w:w="1845" w:type="dxa"/>
            <w:noWrap/>
            <w:vAlign w:val="center"/>
          </w:tcPr>
          <w:p>
            <w:pPr>
              <w:keepNext w:val="0"/>
              <w:keepLines w:val="0"/>
              <w:widowControl/>
              <w:suppressLineNumbers w:val="0"/>
              <w:jc w:val="left"/>
              <w:textAlignment w:val="center"/>
              <w:rPr>
                <w:rFonts w:hint="default" w:eastAsia="宋体"/>
                <w:color w:val="000000"/>
                <w:kern w:val="0"/>
                <w:szCs w:val="21"/>
                <w:lang w:val="en-US" w:eastAsia="zh-CN"/>
              </w:rPr>
            </w:pPr>
            <w:r>
              <w:rPr>
                <w:rFonts w:hint="eastAsia"/>
                <w:color w:val="000000"/>
                <w:kern w:val="0"/>
                <w:szCs w:val="21"/>
                <w:lang w:val="en-US" w:eastAsia="zh-CN"/>
              </w:rPr>
              <w:t>完成39次</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指标3：注册志愿者人数</w:t>
            </w:r>
          </w:p>
        </w:tc>
        <w:tc>
          <w:tcPr>
            <w:tcW w:w="1140" w:type="dxa"/>
            <w:noWrap/>
            <w:vAlign w:val="center"/>
          </w:tcPr>
          <w:p>
            <w:pPr>
              <w:widowControl/>
              <w:spacing w:line="240" w:lineRule="exact"/>
              <w:jc w:val="left"/>
              <w:rPr>
                <w:color w:val="000000"/>
                <w:kern w:val="0"/>
                <w:szCs w:val="21"/>
              </w:rPr>
            </w:pPr>
            <w:r>
              <w:rPr>
                <w:rFonts w:hint="eastAsia"/>
                <w:color w:val="000000"/>
                <w:kern w:val="0"/>
                <w:szCs w:val="21"/>
                <w:lang w:val="en-US" w:eastAsia="zh-CN"/>
              </w:rPr>
              <w:t>大于等于50人</w:t>
            </w:r>
            <w:r>
              <w:rPr>
                <w:rFonts w:hint="eastAsia"/>
                <w:color w:val="000000"/>
                <w:kern w:val="0"/>
                <w:szCs w:val="21"/>
              </w:rPr>
              <w:t>　</w:t>
            </w:r>
          </w:p>
        </w:tc>
        <w:tc>
          <w:tcPr>
            <w:tcW w:w="184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注册200人</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rFonts w:hint="default"/>
                <w:color w:val="000000"/>
                <w:kern w:val="0"/>
                <w:szCs w:val="21"/>
                <w:lang w:val="en-US" w:eastAsia="zh-CN"/>
              </w:rPr>
            </w:pPr>
            <w:r>
              <w:rPr>
                <w:rFonts w:hint="eastAsia"/>
                <w:color w:val="000000"/>
                <w:kern w:val="0"/>
                <w:szCs w:val="21"/>
                <w:lang w:val="en-US" w:eastAsia="zh-CN"/>
              </w:rPr>
              <w:t>指标4：购买办公设备（套、台）</w:t>
            </w:r>
          </w:p>
        </w:tc>
        <w:tc>
          <w:tcPr>
            <w:tcW w:w="1140" w:type="dxa"/>
            <w:noWrap/>
            <w:vAlign w:val="center"/>
          </w:tcPr>
          <w:p>
            <w:pPr>
              <w:widowControl/>
              <w:spacing w:line="240" w:lineRule="exact"/>
              <w:jc w:val="left"/>
              <w:rPr>
                <w:rFonts w:hint="default"/>
                <w:color w:val="000000"/>
                <w:kern w:val="0"/>
                <w:szCs w:val="21"/>
                <w:lang w:val="en-US" w:eastAsia="zh-CN"/>
              </w:rPr>
            </w:pPr>
            <w:r>
              <w:rPr>
                <w:rFonts w:hint="eastAsia"/>
                <w:color w:val="000000"/>
                <w:kern w:val="0"/>
                <w:szCs w:val="21"/>
                <w:lang w:val="en-US" w:eastAsia="zh-CN"/>
              </w:rPr>
              <w:t>等于34（套、台）</w:t>
            </w:r>
          </w:p>
        </w:tc>
        <w:tc>
          <w:tcPr>
            <w:tcW w:w="184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已完成</w:t>
            </w:r>
          </w:p>
        </w:tc>
        <w:tc>
          <w:tcPr>
            <w:tcW w:w="1972" w:type="dxa"/>
            <w:noWrap/>
            <w:vAlign w:val="center"/>
          </w:tcPr>
          <w:p>
            <w:pPr>
              <w:widowControl/>
              <w:spacing w:line="240" w:lineRule="exact"/>
              <w:jc w:val="left"/>
              <w:rPr>
                <w:rFonts w:hint="eastAsia"/>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rFonts w:hint="default"/>
                <w:color w:val="000000"/>
                <w:kern w:val="0"/>
                <w:szCs w:val="21"/>
                <w:lang w:val="en-US" w:eastAsia="zh-CN"/>
              </w:rPr>
            </w:pPr>
            <w:r>
              <w:rPr>
                <w:rFonts w:hint="eastAsia"/>
                <w:color w:val="000000"/>
                <w:kern w:val="0"/>
                <w:szCs w:val="21"/>
                <w:lang w:val="en-US" w:eastAsia="zh-CN"/>
              </w:rPr>
              <w:t>指标5：救护员培训人次</w:t>
            </w:r>
          </w:p>
        </w:tc>
        <w:tc>
          <w:tcPr>
            <w:tcW w:w="1140" w:type="dxa"/>
            <w:noWrap/>
            <w:vAlign w:val="center"/>
          </w:tcPr>
          <w:p>
            <w:pPr>
              <w:widowControl/>
              <w:spacing w:line="240" w:lineRule="exact"/>
              <w:jc w:val="left"/>
              <w:rPr>
                <w:rFonts w:hint="default"/>
                <w:color w:val="000000"/>
                <w:kern w:val="0"/>
                <w:szCs w:val="21"/>
                <w:lang w:val="en-US" w:eastAsia="zh-CN"/>
              </w:rPr>
            </w:pPr>
            <w:r>
              <w:rPr>
                <w:rFonts w:hint="eastAsia"/>
                <w:color w:val="000000"/>
                <w:kern w:val="0"/>
                <w:szCs w:val="21"/>
                <w:lang w:val="en-US" w:eastAsia="zh-CN"/>
              </w:rPr>
              <w:t>大于等于500人</w:t>
            </w:r>
          </w:p>
        </w:tc>
        <w:tc>
          <w:tcPr>
            <w:tcW w:w="1845" w:type="dxa"/>
            <w:noWrap/>
            <w:vAlign w:val="center"/>
          </w:tcPr>
          <w:p>
            <w:pPr>
              <w:widowControl/>
              <w:spacing w:line="240" w:lineRule="exact"/>
              <w:jc w:val="left"/>
              <w:rPr>
                <w:rFonts w:hint="default"/>
                <w:color w:val="000000"/>
                <w:kern w:val="0"/>
                <w:szCs w:val="21"/>
                <w:lang w:val="en-US" w:eastAsia="zh-CN"/>
              </w:rPr>
            </w:pPr>
            <w:r>
              <w:rPr>
                <w:rFonts w:hint="eastAsia"/>
                <w:color w:val="000000"/>
                <w:kern w:val="0"/>
                <w:szCs w:val="21"/>
                <w:lang w:val="en-US" w:eastAsia="zh-CN"/>
              </w:rPr>
              <w:t>培训560人</w:t>
            </w:r>
          </w:p>
        </w:tc>
        <w:tc>
          <w:tcPr>
            <w:tcW w:w="1972" w:type="dxa"/>
            <w:noWrap/>
            <w:vAlign w:val="center"/>
          </w:tcPr>
          <w:p>
            <w:pPr>
              <w:widowControl/>
              <w:spacing w:line="240" w:lineRule="exact"/>
              <w:jc w:val="left"/>
              <w:rPr>
                <w:rFonts w:hint="eastAsia"/>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restart"/>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1794" w:type="dxa"/>
            <w:noWrap/>
            <w:vAlign w:val="center"/>
          </w:tcPr>
          <w:p>
            <w:pPr>
              <w:keepNext w:val="0"/>
              <w:keepLines w:val="0"/>
              <w:widowControl/>
              <w:suppressLineNumbers w:val="0"/>
              <w:jc w:val="left"/>
              <w:textAlignment w:val="center"/>
              <w:rPr>
                <w:rFonts w:hint="default"/>
                <w:color w:val="000000"/>
                <w:kern w:val="0"/>
                <w:szCs w:val="21"/>
                <w:lang w:val="en-US"/>
              </w:rPr>
            </w:pPr>
            <w:r>
              <w:rPr>
                <w:rFonts w:hint="eastAsia" w:ascii="宋体" w:hAnsi="宋体" w:eastAsia="宋体" w:cs="宋体"/>
                <w:i w:val="0"/>
                <w:iCs w:val="0"/>
                <w:color w:val="000000"/>
                <w:kern w:val="0"/>
                <w:sz w:val="21"/>
                <w:szCs w:val="21"/>
                <w:u w:val="none"/>
                <w:lang w:val="en-US" w:eastAsia="zh-CN" w:bidi="ar"/>
              </w:rPr>
              <w:t>指标</w:t>
            </w:r>
            <w:r>
              <w:rPr>
                <w:rFonts w:hint="default" w:ascii="Times New Roman" w:hAnsi="Times New Roman" w:eastAsia="宋体" w:cs="Times New Roman"/>
                <w:i w:val="0"/>
                <w:iCs w:val="0"/>
                <w:color w:val="000000"/>
                <w:kern w:val="0"/>
                <w:sz w:val="21"/>
                <w:szCs w:val="21"/>
                <w:u w:val="none"/>
                <w:lang w:val="en-US" w:eastAsia="zh-CN" w:bidi="ar"/>
              </w:rPr>
              <w:t>1:</w:t>
            </w:r>
            <w:r>
              <w:rPr>
                <w:rFonts w:hint="eastAsia" w:cs="Times New Roman"/>
                <w:i w:val="0"/>
                <w:iCs w:val="0"/>
                <w:color w:val="000000"/>
                <w:kern w:val="0"/>
                <w:sz w:val="21"/>
                <w:szCs w:val="21"/>
                <w:u w:val="none"/>
                <w:lang w:val="en-US" w:eastAsia="zh-CN" w:bidi="ar"/>
              </w:rPr>
              <w:t>代表大会顺利举行，换届圆满成功</w:t>
            </w:r>
          </w:p>
        </w:tc>
        <w:tc>
          <w:tcPr>
            <w:tcW w:w="1140" w:type="dxa"/>
            <w:noWrap/>
            <w:vAlign w:val="center"/>
          </w:tcPr>
          <w:p>
            <w:pPr>
              <w:keepNext w:val="0"/>
              <w:keepLines w:val="0"/>
              <w:widowControl/>
              <w:suppressLineNumbers w:val="0"/>
              <w:jc w:val="left"/>
              <w:textAlignment w:val="center"/>
              <w:rPr>
                <w:rFonts w:hint="eastAsia" w:eastAsia="宋体"/>
                <w:color w:val="000000"/>
                <w:kern w:val="0"/>
                <w:szCs w:val="21"/>
                <w:lang w:val="en-US" w:eastAsia="zh-CN"/>
              </w:rPr>
            </w:pPr>
            <w:r>
              <w:rPr>
                <w:rFonts w:hint="eastAsia"/>
                <w:color w:val="000000"/>
                <w:kern w:val="0"/>
                <w:szCs w:val="21"/>
                <w:lang w:val="en-US" w:eastAsia="zh-CN"/>
              </w:rPr>
              <w:t>定性</w:t>
            </w:r>
          </w:p>
        </w:tc>
        <w:tc>
          <w:tcPr>
            <w:tcW w:w="1845" w:type="dxa"/>
            <w:noWrap/>
            <w:vAlign w:val="center"/>
          </w:tcPr>
          <w:p>
            <w:pPr>
              <w:keepNext w:val="0"/>
              <w:keepLines w:val="0"/>
              <w:widowControl/>
              <w:suppressLineNumbers w:val="0"/>
              <w:jc w:val="left"/>
              <w:textAlignment w:val="center"/>
              <w:rPr>
                <w:color w:val="000000"/>
                <w:kern w:val="0"/>
                <w:szCs w:val="21"/>
              </w:rPr>
            </w:pPr>
            <w:r>
              <w:rPr>
                <w:rFonts w:hint="eastAsia" w:ascii="宋体" w:hAnsi="宋体" w:eastAsia="宋体" w:cs="宋体"/>
                <w:i w:val="0"/>
                <w:iCs w:val="0"/>
                <w:color w:val="000000"/>
                <w:kern w:val="0"/>
                <w:sz w:val="21"/>
                <w:szCs w:val="21"/>
                <w:u w:val="none"/>
                <w:lang w:val="en-US" w:eastAsia="zh-CN" w:bidi="ar"/>
              </w:rPr>
              <w:t>已完成</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指标</w:t>
            </w:r>
            <w:r>
              <w:rPr>
                <w:color w:val="000000"/>
                <w:kern w:val="0"/>
                <w:szCs w:val="21"/>
              </w:rPr>
              <w:t>2:</w:t>
            </w:r>
          </w:p>
        </w:tc>
        <w:tc>
          <w:tcPr>
            <w:tcW w:w="1140" w:type="dxa"/>
            <w:noWrap/>
            <w:vAlign w:val="center"/>
          </w:tcPr>
          <w:p>
            <w:pPr>
              <w:widowControl/>
              <w:spacing w:line="240" w:lineRule="exact"/>
              <w:jc w:val="left"/>
              <w:rPr>
                <w:rFonts w:hint="default" w:eastAsia="宋体"/>
                <w:color w:val="000000"/>
                <w:kern w:val="0"/>
                <w:szCs w:val="21"/>
                <w:lang w:val="en-US" w:eastAsia="zh-CN"/>
              </w:rPr>
            </w:pPr>
          </w:p>
        </w:tc>
        <w:tc>
          <w:tcPr>
            <w:tcW w:w="1845" w:type="dxa"/>
            <w:noWrap/>
            <w:vAlign w:val="center"/>
          </w:tcPr>
          <w:p>
            <w:pPr>
              <w:widowControl/>
              <w:spacing w:line="240" w:lineRule="exact"/>
              <w:jc w:val="left"/>
              <w:rPr>
                <w:rFonts w:hint="eastAsia"/>
                <w:color w:val="000000"/>
                <w:kern w:val="0"/>
                <w:szCs w:val="21"/>
                <w:lang w:val="en-US" w:eastAsia="zh-CN"/>
              </w:rPr>
            </w:pP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指标3：</w:t>
            </w:r>
          </w:p>
        </w:tc>
        <w:tc>
          <w:tcPr>
            <w:tcW w:w="1140" w:type="dxa"/>
            <w:noWrap/>
            <w:vAlign w:val="center"/>
          </w:tcPr>
          <w:p>
            <w:pPr>
              <w:widowControl/>
              <w:spacing w:line="240" w:lineRule="exact"/>
              <w:jc w:val="left"/>
              <w:rPr>
                <w:rFonts w:hint="default" w:eastAsia="宋体"/>
                <w:color w:val="000000"/>
                <w:kern w:val="0"/>
                <w:szCs w:val="21"/>
                <w:lang w:val="en-US" w:eastAsia="zh-CN"/>
              </w:rPr>
            </w:pPr>
          </w:p>
        </w:tc>
        <w:tc>
          <w:tcPr>
            <w:tcW w:w="1845" w:type="dxa"/>
            <w:noWrap/>
            <w:vAlign w:val="center"/>
          </w:tcPr>
          <w:p>
            <w:pPr>
              <w:widowControl/>
              <w:spacing w:line="240" w:lineRule="exact"/>
              <w:jc w:val="left"/>
              <w:rPr>
                <w:rFonts w:hint="eastAsia" w:eastAsia="宋体"/>
                <w:color w:val="000000"/>
                <w:kern w:val="0"/>
                <w:szCs w:val="21"/>
                <w:lang w:val="en-US" w:eastAsia="zh-CN"/>
              </w:rPr>
            </w:pP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restart"/>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1794" w:type="dxa"/>
            <w:noWrap/>
            <w:vAlign w:val="center"/>
          </w:tcPr>
          <w:p>
            <w:pPr>
              <w:keepNext w:val="0"/>
              <w:keepLines w:val="0"/>
              <w:widowControl/>
              <w:suppressLineNumbers w:val="0"/>
              <w:jc w:val="left"/>
              <w:textAlignment w:val="center"/>
              <w:rPr>
                <w:rFonts w:hint="default"/>
                <w:color w:val="000000"/>
                <w:kern w:val="0"/>
                <w:szCs w:val="21"/>
                <w:lang w:val="en-US"/>
              </w:rPr>
            </w:pPr>
            <w:r>
              <w:rPr>
                <w:rFonts w:hint="eastAsia" w:ascii="宋体" w:hAnsi="宋体" w:eastAsia="宋体" w:cs="宋体"/>
                <w:i w:val="0"/>
                <w:iCs w:val="0"/>
                <w:color w:val="000000"/>
                <w:kern w:val="0"/>
                <w:sz w:val="21"/>
                <w:szCs w:val="21"/>
                <w:u w:val="none"/>
                <w:lang w:val="en-US" w:eastAsia="zh-CN" w:bidi="ar"/>
              </w:rPr>
              <w:t>指标</w:t>
            </w: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在规定时间内及时完成</w:t>
            </w:r>
            <w:r>
              <w:rPr>
                <w:rFonts w:hint="eastAsia" w:ascii="宋体" w:hAnsi="宋体" w:cs="宋体"/>
                <w:i w:val="0"/>
                <w:iCs w:val="0"/>
                <w:color w:val="000000"/>
                <w:kern w:val="0"/>
                <w:sz w:val="21"/>
                <w:szCs w:val="21"/>
                <w:u w:val="none"/>
                <w:lang w:val="en-US" w:eastAsia="zh-CN" w:bidi="ar"/>
              </w:rPr>
              <w:t>换届选举</w:t>
            </w:r>
          </w:p>
        </w:tc>
        <w:tc>
          <w:tcPr>
            <w:tcW w:w="1140" w:type="dxa"/>
            <w:noWrap/>
            <w:vAlign w:val="center"/>
          </w:tcPr>
          <w:p>
            <w:pPr>
              <w:keepNext w:val="0"/>
              <w:keepLines w:val="0"/>
              <w:widowControl/>
              <w:suppressLineNumbers w:val="0"/>
              <w:jc w:val="left"/>
              <w:textAlignment w:val="center"/>
              <w:rPr>
                <w:rFonts w:hint="default" w:eastAsia="宋体"/>
                <w:color w:val="000000"/>
                <w:kern w:val="0"/>
                <w:szCs w:val="21"/>
                <w:lang w:val="en-US" w:eastAsia="zh-CN"/>
              </w:rPr>
            </w:pPr>
            <w:r>
              <w:rPr>
                <w:rFonts w:hint="eastAsia"/>
                <w:color w:val="000000"/>
                <w:kern w:val="0"/>
                <w:szCs w:val="21"/>
                <w:lang w:val="en-US" w:eastAsia="zh-CN"/>
              </w:rPr>
              <w:t>小于等于4小时</w:t>
            </w:r>
          </w:p>
        </w:tc>
        <w:tc>
          <w:tcPr>
            <w:tcW w:w="1845" w:type="dxa"/>
            <w:noWrap/>
            <w:vAlign w:val="center"/>
          </w:tcPr>
          <w:p>
            <w:pPr>
              <w:keepNext w:val="0"/>
              <w:keepLines w:val="0"/>
              <w:widowControl/>
              <w:suppressLineNumbers w:val="0"/>
              <w:jc w:val="left"/>
              <w:textAlignment w:val="center"/>
              <w:rPr>
                <w:color w:val="000000"/>
                <w:kern w:val="0"/>
                <w:szCs w:val="21"/>
              </w:rPr>
            </w:pPr>
            <w:r>
              <w:rPr>
                <w:rFonts w:hint="eastAsia" w:ascii="宋体" w:hAnsi="宋体" w:eastAsia="宋体" w:cs="宋体"/>
                <w:i w:val="0"/>
                <w:iCs w:val="0"/>
                <w:color w:val="000000"/>
                <w:kern w:val="0"/>
                <w:sz w:val="21"/>
                <w:szCs w:val="21"/>
                <w:u w:val="none"/>
                <w:lang w:val="en-US" w:eastAsia="zh-CN" w:bidi="ar"/>
              </w:rPr>
              <w:t>已在规定时间内完成</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restart"/>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1794" w:type="dxa"/>
            <w:noWrap/>
            <w:vAlign w:val="center"/>
          </w:tcPr>
          <w:p>
            <w:pPr>
              <w:keepNext w:val="0"/>
              <w:keepLines w:val="0"/>
              <w:widowControl/>
              <w:suppressLineNumbers w:val="0"/>
              <w:jc w:val="left"/>
              <w:textAlignment w:val="center"/>
              <w:rPr>
                <w:rFonts w:hint="default"/>
                <w:color w:val="000000"/>
                <w:kern w:val="0"/>
                <w:szCs w:val="21"/>
                <w:lang w:val="en-US"/>
              </w:rPr>
            </w:pPr>
            <w:r>
              <w:rPr>
                <w:rFonts w:hint="eastAsia" w:ascii="宋体" w:hAnsi="宋体" w:eastAsia="宋体" w:cs="宋体"/>
                <w:i w:val="0"/>
                <w:iCs w:val="0"/>
                <w:color w:val="000000"/>
                <w:kern w:val="0"/>
                <w:sz w:val="21"/>
                <w:szCs w:val="21"/>
                <w:u w:val="none"/>
                <w:lang w:val="en-US" w:eastAsia="zh-CN" w:bidi="ar"/>
              </w:rPr>
              <w:t>指标</w:t>
            </w:r>
            <w:r>
              <w:rPr>
                <w:rFonts w:hint="default" w:ascii="Times New Roman" w:hAnsi="Times New Roman" w:eastAsia="宋体" w:cs="Times New Roman"/>
                <w:i w:val="0"/>
                <w:iCs w:val="0"/>
                <w:color w:val="000000"/>
                <w:kern w:val="0"/>
                <w:sz w:val="21"/>
                <w:szCs w:val="21"/>
                <w:u w:val="none"/>
                <w:lang w:val="en-US" w:eastAsia="zh-CN" w:bidi="ar"/>
              </w:rPr>
              <w:t>1:</w:t>
            </w:r>
            <w:r>
              <w:rPr>
                <w:rFonts w:hint="eastAsia" w:cs="Times New Roman"/>
                <w:i w:val="0"/>
                <w:iCs w:val="0"/>
                <w:color w:val="000000"/>
                <w:kern w:val="0"/>
                <w:sz w:val="21"/>
                <w:szCs w:val="21"/>
                <w:u w:val="none"/>
                <w:lang w:val="en-US" w:eastAsia="zh-CN" w:bidi="ar"/>
              </w:rPr>
              <w:t>换届、开办及专项工作经费</w:t>
            </w:r>
          </w:p>
        </w:tc>
        <w:tc>
          <w:tcPr>
            <w:tcW w:w="1140" w:type="dxa"/>
            <w:noWrap/>
            <w:vAlign w:val="center"/>
          </w:tcPr>
          <w:p>
            <w:pPr>
              <w:keepNext w:val="0"/>
              <w:keepLines w:val="0"/>
              <w:widowControl/>
              <w:suppressLineNumbers w:val="0"/>
              <w:jc w:val="left"/>
              <w:textAlignment w:val="center"/>
              <w:rPr>
                <w:rFonts w:hint="default"/>
                <w:color w:val="000000"/>
                <w:kern w:val="0"/>
                <w:szCs w:val="21"/>
                <w:lang w:val="en-US"/>
              </w:rPr>
            </w:pPr>
            <w:r>
              <w:rPr>
                <w:rFonts w:hint="eastAsia" w:ascii="宋体" w:hAnsi="宋体" w:eastAsia="宋体" w:cs="宋体"/>
                <w:i w:val="0"/>
                <w:iCs w:val="0"/>
                <w:color w:val="000000"/>
                <w:kern w:val="0"/>
                <w:sz w:val="21"/>
                <w:szCs w:val="21"/>
                <w:u w:val="none"/>
                <w:lang w:val="en-US" w:eastAsia="zh-CN" w:bidi="ar"/>
              </w:rPr>
              <w:t>小于等于</w:t>
            </w:r>
            <w:r>
              <w:rPr>
                <w:rFonts w:hint="eastAsia" w:ascii="宋体" w:hAnsi="宋体" w:cs="宋体"/>
                <w:i w:val="0"/>
                <w:iCs w:val="0"/>
                <w:color w:val="000000"/>
                <w:kern w:val="0"/>
                <w:sz w:val="21"/>
                <w:szCs w:val="21"/>
                <w:u w:val="none"/>
                <w:lang w:val="en-US" w:eastAsia="zh-CN" w:bidi="ar"/>
              </w:rPr>
              <w:t>40万元</w:t>
            </w:r>
          </w:p>
        </w:tc>
        <w:tc>
          <w:tcPr>
            <w:tcW w:w="1845" w:type="dxa"/>
            <w:noWrap/>
            <w:vAlign w:val="center"/>
          </w:tcPr>
          <w:p>
            <w:pPr>
              <w:keepNext w:val="0"/>
              <w:keepLines w:val="0"/>
              <w:widowControl/>
              <w:suppressLineNumbers w:val="0"/>
              <w:jc w:val="left"/>
              <w:textAlignment w:val="center"/>
              <w:rPr>
                <w:rFonts w:hint="default"/>
                <w:color w:val="000000"/>
                <w:kern w:val="0"/>
                <w:szCs w:val="21"/>
                <w:lang w:val="en-US"/>
              </w:rPr>
            </w:pPr>
            <w:r>
              <w:rPr>
                <w:rFonts w:hint="eastAsia" w:ascii="宋体" w:hAnsi="宋体" w:cs="宋体"/>
                <w:i w:val="0"/>
                <w:iCs w:val="0"/>
                <w:color w:val="000000"/>
                <w:kern w:val="0"/>
                <w:sz w:val="21"/>
                <w:szCs w:val="21"/>
                <w:u w:val="none"/>
                <w:lang w:val="en-US" w:eastAsia="zh-CN" w:bidi="ar"/>
              </w:rPr>
              <w:t>在规定范围内</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794"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restart"/>
            <w:noWrap w:val="0"/>
            <w:vAlign w:val="center"/>
          </w:tcPr>
          <w:p>
            <w:pPr>
              <w:spacing w:line="240" w:lineRule="exact"/>
              <w:jc w:val="center"/>
              <w:rPr>
                <w:color w:val="000000"/>
                <w:kern w:val="0"/>
                <w:szCs w:val="21"/>
              </w:rPr>
            </w:pPr>
            <w:r>
              <w:rPr>
                <w:rFonts w:hint="eastAsia"/>
                <w:color w:val="000000"/>
                <w:kern w:val="0"/>
                <w:szCs w:val="21"/>
              </w:rPr>
              <w:t>年度绩效指标</w:t>
            </w:r>
          </w:p>
        </w:tc>
        <w:tc>
          <w:tcPr>
            <w:tcW w:w="827"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效益</w:t>
            </w:r>
          </w:p>
        </w:tc>
        <w:tc>
          <w:tcPr>
            <w:tcW w:w="755" w:type="dxa"/>
            <w:vMerge w:val="restart"/>
            <w:noWrap/>
            <w:vAlign w:val="center"/>
          </w:tcPr>
          <w:p>
            <w:pPr>
              <w:widowControl/>
              <w:spacing w:line="240" w:lineRule="exact"/>
              <w:jc w:val="center"/>
              <w:rPr>
                <w:color w:val="000000"/>
                <w:kern w:val="0"/>
                <w:szCs w:val="21"/>
              </w:rPr>
            </w:pPr>
            <w:r>
              <w:rPr>
                <w:rFonts w:hint="eastAsia"/>
                <w:color w:val="000000"/>
                <w:kern w:val="0"/>
                <w:szCs w:val="21"/>
              </w:rPr>
              <w:t>经济效益指标</w:t>
            </w:r>
          </w:p>
        </w:tc>
        <w:tc>
          <w:tcPr>
            <w:tcW w:w="1794"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指标</w:t>
            </w:r>
            <w:r>
              <w:rPr>
                <w:color w:val="000000"/>
                <w:kern w:val="0"/>
                <w:szCs w:val="21"/>
              </w:rPr>
              <w:t>1:</w:t>
            </w:r>
          </w:p>
        </w:tc>
        <w:tc>
          <w:tcPr>
            <w:tcW w:w="1140" w:type="dxa"/>
            <w:noWrap/>
            <w:vAlign w:val="center"/>
          </w:tcPr>
          <w:p>
            <w:pPr>
              <w:widowControl/>
              <w:spacing w:line="240" w:lineRule="exact"/>
              <w:jc w:val="left"/>
              <w:rPr>
                <w:rFonts w:hint="default" w:eastAsia="宋体"/>
                <w:color w:val="000000"/>
                <w:kern w:val="0"/>
                <w:szCs w:val="21"/>
                <w:lang w:val="en-US" w:eastAsia="zh-CN"/>
              </w:rPr>
            </w:pPr>
          </w:p>
        </w:tc>
        <w:tc>
          <w:tcPr>
            <w:tcW w:w="1845" w:type="dxa"/>
            <w:noWrap/>
            <w:vAlign w:val="center"/>
          </w:tcPr>
          <w:p>
            <w:pPr>
              <w:widowControl/>
              <w:spacing w:line="240" w:lineRule="exact"/>
              <w:jc w:val="left"/>
              <w:rPr>
                <w:rFonts w:hint="eastAsia" w:eastAsia="宋体"/>
                <w:color w:val="000000"/>
                <w:kern w:val="0"/>
                <w:szCs w:val="21"/>
                <w:lang w:val="en-US" w:eastAsia="zh-CN"/>
              </w:rPr>
            </w:pP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restart"/>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1794" w:type="dxa"/>
            <w:noWrap/>
            <w:vAlign w:val="center"/>
          </w:tcPr>
          <w:p>
            <w:pPr>
              <w:keepNext w:val="0"/>
              <w:keepLines w:val="0"/>
              <w:widowControl/>
              <w:suppressLineNumbers w:val="0"/>
              <w:jc w:val="left"/>
              <w:textAlignment w:val="center"/>
              <w:rPr>
                <w:rFonts w:hint="default"/>
                <w:color w:val="000000"/>
                <w:kern w:val="0"/>
                <w:szCs w:val="21"/>
                <w:lang w:val="en-US"/>
              </w:rPr>
            </w:pPr>
            <w:r>
              <w:rPr>
                <w:rFonts w:hint="eastAsia" w:ascii="宋体" w:hAnsi="宋体" w:eastAsia="宋体" w:cs="宋体"/>
                <w:i w:val="0"/>
                <w:iCs w:val="0"/>
                <w:color w:val="000000"/>
                <w:kern w:val="0"/>
                <w:sz w:val="21"/>
                <w:szCs w:val="21"/>
                <w:u w:val="none"/>
                <w:lang w:val="en-US" w:eastAsia="zh-CN" w:bidi="ar"/>
              </w:rPr>
              <w:t>指标</w:t>
            </w:r>
            <w:r>
              <w:rPr>
                <w:rFonts w:hint="default" w:ascii="Times New Roman" w:hAnsi="Times New Roman" w:eastAsia="宋体" w:cs="Times New Roman"/>
                <w:i w:val="0"/>
                <w:iCs w:val="0"/>
                <w:color w:val="000000"/>
                <w:kern w:val="0"/>
                <w:sz w:val="21"/>
                <w:szCs w:val="21"/>
                <w:u w:val="none"/>
                <w:lang w:val="en-US" w:eastAsia="zh-CN" w:bidi="ar"/>
              </w:rPr>
              <w:t>1:</w:t>
            </w:r>
            <w:r>
              <w:rPr>
                <w:rFonts w:hint="eastAsia" w:cs="Times New Roman"/>
                <w:i w:val="0"/>
                <w:iCs w:val="0"/>
                <w:color w:val="000000"/>
                <w:kern w:val="0"/>
                <w:sz w:val="21"/>
                <w:szCs w:val="21"/>
                <w:u w:val="none"/>
                <w:lang w:val="en-US" w:eastAsia="zh-CN" w:bidi="ar"/>
              </w:rPr>
              <w:t>加大对乡村振兴、民生领域的支持力度</w:t>
            </w:r>
          </w:p>
        </w:tc>
        <w:tc>
          <w:tcPr>
            <w:tcW w:w="1140" w:type="dxa"/>
            <w:noWrap/>
            <w:vAlign w:val="center"/>
          </w:tcPr>
          <w:p>
            <w:pPr>
              <w:keepNext w:val="0"/>
              <w:keepLines w:val="0"/>
              <w:widowControl/>
              <w:suppressLineNumbers w:val="0"/>
              <w:jc w:val="left"/>
              <w:textAlignment w:val="center"/>
              <w:rPr>
                <w:rFonts w:hint="eastAsia" w:eastAsia="宋体"/>
                <w:color w:val="000000"/>
                <w:kern w:val="0"/>
                <w:szCs w:val="21"/>
                <w:lang w:val="en-US" w:eastAsia="zh-CN"/>
              </w:rPr>
            </w:pPr>
            <w:r>
              <w:rPr>
                <w:rFonts w:hint="eastAsia"/>
                <w:color w:val="000000"/>
                <w:kern w:val="0"/>
                <w:szCs w:val="21"/>
                <w:lang w:val="en-US" w:eastAsia="zh-CN"/>
              </w:rPr>
              <w:t>定性</w:t>
            </w:r>
          </w:p>
        </w:tc>
        <w:tc>
          <w:tcPr>
            <w:tcW w:w="1845" w:type="dxa"/>
            <w:noWrap/>
            <w:vAlign w:val="center"/>
          </w:tcPr>
          <w:p>
            <w:pPr>
              <w:keepNext w:val="0"/>
              <w:keepLines w:val="0"/>
              <w:widowControl/>
              <w:suppressLineNumbers w:val="0"/>
              <w:jc w:val="left"/>
              <w:textAlignment w:val="center"/>
              <w:rPr>
                <w:rFonts w:hint="default" w:eastAsia="宋体"/>
                <w:color w:val="000000"/>
                <w:kern w:val="0"/>
                <w:szCs w:val="21"/>
                <w:lang w:val="en-US" w:eastAsia="zh-CN"/>
              </w:rPr>
            </w:pPr>
            <w:r>
              <w:rPr>
                <w:rFonts w:hint="eastAsia"/>
                <w:color w:val="000000"/>
                <w:kern w:val="0"/>
                <w:szCs w:val="21"/>
                <w:lang w:val="en-US" w:eastAsia="zh-CN"/>
              </w:rPr>
              <w:t>已完成</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restart"/>
            <w:noWrap/>
            <w:vAlign w:val="center"/>
          </w:tcPr>
          <w:p>
            <w:pPr>
              <w:widowControl/>
              <w:spacing w:line="240" w:lineRule="exact"/>
              <w:jc w:val="center"/>
              <w:rPr>
                <w:color w:val="000000"/>
                <w:kern w:val="0"/>
                <w:szCs w:val="21"/>
              </w:rPr>
            </w:pPr>
            <w:r>
              <w:rPr>
                <w:rFonts w:hint="eastAsia"/>
                <w:color w:val="000000"/>
                <w:kern w:val="0"/>
                <w:szCs w:val="21"/>
              </w:rPr>
              <w:t>生态效益指标</w:t>
            </w:r>
          </w:p>
        </w:tc>
        <w:tc>
          <w:tcPr>
            <w:tcW w:w="1794"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restart"/>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1794"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指标</w:t>
            </w:r>
            <w:r>
              <w:rPr>
                <w:color w:val="000000"/>
                <w:kern w:val="0"/>
                <w:szCs w:val="21"/>
              </w:rPr>
              <w:t>1:</w:t>
            </w:r>
            <w:r>
              <w:rPr>
                <w:rFonts w:hint="eastAsia"/>
                <w:color w:val="000000"/>
                <w:kern w:val="0"/>
                <w:szCs w:val="21"/>
                <w:lang w:val="en-US" w:eastAsia="zh-CN"/>
              </w:rPr>
              <w:t>在“三救三献”工作中持续扩大影响力</w:t>
            </w:r>
          </w:p>
        </w:tc>
        <w:tc>
          <w:tcPr>
            <w:tcW w:w="114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定性</w:t>
            </w:r>
          </w:p>
        </w:tc>
        <w:tc>
          <w:tcPr>
            <w:tcW w:w="184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已完成</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794"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restart"/>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755" w:type="dxa"/>
            <w:vMerge w:val="restart"/>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1794" w:type="dxa"/>
            <w:noWrap/>
            <w:vAlign w:val="center"/>
          </w:tcPr>
          <w:p>
            <w:pPr>
              <w:keepNext w:val="0"/>
              <w:keepLines w:val="0"/>
              <w:widowControl/>
              <w:suppressLineNumbers w:val="0"/>
              <w:jc w:val="left"/>
              <w:textAlignment w:val="center"/>
              <w:rPr>
                <w:rFonts w:hint="default"/>
                <w:color w:val="000000"/>
                <w:kern w:val="0"/>
                <w:szCs w:val="21"/>
                <w:lang w:val="en-US"/>
              </w:rPr>
            </w:pPr>
            <w:r>
              <w:rPr>
                <w:rFonts w:hint="eastAsia" w:ascii="宋体" w:hAnsi="宋体" w:eastAsia="宋体" w:cs="宋体"/>
                <w:i w:val="0"/>
                <w:iCs w:val="0"/>
                <w:color w:val="000000"/>
                <w:kern w:val="0"/>
                <w:sz w:val="21"/>
                <w:szCs w:val="21"/>
                <w:u w:val="none"/>
                <w:lang w:val="en-US" w:eastAsia="zh-CN" w:bidi="ar"/>
              </w:rPr>
              <w:t>指标</w:t>
            </w:r>
            <w:r>
              <w:rPr>
                <w:rFonts w:hint="default" w:ascii="Times New Roman" w:hAnsi="Times New Roman" w:eastAsia="宋体" w:cs="Times New Roman"/>
                <w:i w:val="0"/>
                <w:iCs w:val="0"/>
                <w:color w:val="000000"/>
                <w:kern w:val="0"/>
                <w:sz w:val="21"/>
                <w:szCs w:val="21"/>
                <w:u w:val="none"/>
                <w:lang w:val="en-US" w:eastAsia="zh-CN" w:bidi="ar"/>
              </w:rPr>
              <w:t>1:</w:t>
            </w:r>
            <w:r>
              <w:rPr>
                <w:rFonts w:hint="eastAsia" w:cs="Times New Roman"/>
                <w:i w:val="0"/>
                <w:iCs w:val="0"/>
                <w:color w:val="000000"/>
                <w:kern w:val="0"/>
                <w:sz w:val="21"/>
                <w:szCs w:val="21"/>
                <w:u w:val="none"/>
                <w:lang w:val="en-US" w:eastAsia="zh-CN" w:bidi="ar"/>
              </w:rPr>
              <w:t>受益群众满意度</w:t>
            </w:r>
          </w:p>
        </w:tc>
        <w:tc>
          <w:tcPr>
            <w:tcW w:w="1140" w:type="dxa"/>
            <w:noWrap/>
            <w:vAlign w:val="center"/>
          </w:tcPr>
          <w:p>
            <w:pPr>
              <w:keepNext w:val="0"/>
              <w:keepLines w:val="0"/>
              <w:widowControl/>
              <w:suppressLineNumbers w:val="0"/>
              <w:jc w:val="left"/>
              <w:textAlignment w:val="center"/>
              <w:rPr>
                <w:rFonts w:hint="default" w:eastAsia="宋体"/>
                <w:color w:val="000000"/>
                <w:kern w:val="0"/>
                <w:szCs w:val="21"/>
                <w:lang w:val="en-US" w:eastAsia="zh-CN"/>
              </w:rPr>
            </w:pPr>
            <w:r>
              <w:rPr>
                <w:rFonts w:hint="eastAsia"/>
                <w:color w:val="000000"/>
                <w:kern w:val="0"/>
                <w:szCs w:val="21"/>
                <w:lang w:val="en-US" w:eastAsia="zh-CN"/>
              </w:rPr>
              <w:t>大于等于90%</w:t>
            </w:r>
          </w:p>
        </w:tc>
        <w:tc>
          <w:tcPr>
            <w:tcW w:w="1845" w:type="dxa"/>
            <w:noWrap/>
            <w:vAlign w:val="center"/>
          </w:tcPr>
          <w:p>
            <w:pPr>
              <w:keepNext w:val="0"/>
              <w:keepLines w:val="0"/>
              <w:widowControl/>
              <w:suppressLineNumbers w:val="0"/>
              <w:jc w:val="left"/>
              <w:textAlignment w:val="center"/>
              <w:rPr>
                <w:color w:val="000000"/>
                <w:kern w:val="0"/>
                <w:szCs w:val="21"/>
              </w:rPr>
            </w:pPr>
            <w:r>
              <w:rPr>
                <w:rFonts w:hint="eastAsia" w:ascii="宋体" w:hAnsi="宋体" w:eastAsia="宋体" w:cs="宋体"/>
                <w:i w:val="0"/>
                <w:iCs w:val="0"/>
                <w:color w:val="000000"/>
                <w:kern w:val="0"/>
                <w:sz w:val="21"/>
                <w:szCs w:val="21"/>
                <w:u w:val="none"/>
                <w:lang w:val="en-US" w:eastAsia="zh-CN" w:bidi="ar"/>
              </w:rPr>
              <w:t>9</w:t>
            </w:r>
            <w:r>
              <w:rPr>
                <w:rFonts w:hint="eastAsia" w:ascii="宋体" w:hAnsi="宋体" w:cs="宋体"/>
                <w:i w:val="0"/>
                <w:iCs w:val="0"/>
                <w:color w:val="000000"/>
                <w:kern w:val="0"/>
                <w:sz w:val="21"/>
                <w:szCs w:val="21"/>
                <w:u w:val="none"/>
                <w:lang w:val="en-US" w:eastAsia="zh-CN" w:bidi="ar"/>
              </w:rPr>
              <w:t>7</w:t>
            </w:r>
            <w:r>
              <w:rPr>
                <w:rFonts w:hint="eastAsia" w:ascii="宋体" w:hAnsi="宋体" w:eastAsia="宋体" w:cs="宋体"/>
                <w:i w:val="0"/>
                <w:iCs w:val="0"/>
                <w:color w:val="000000"/>
                <w:kern w:val="0"/>
                <w:sz w:val="21"/>
                <w:szCs w:val="21"/>
                <w:u w:val="none"/>
                <w:lang w:val="en-US" w:eastAsia="zh-CN" w:bidi="ar"/>
              </w:rPr>
              <w:t>%</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tcBorders>
              <w:bottom w:val="single" w:color="auto" w:sz="12" w:space="0"/>
            </w:tcBorders>
            <w:noWrap w:val="0"/>
            <w:vAlign w:val="center"/>
          </w:tcPr>
          <w:p>
            <w:pPr>
              <w:widowControl/>
              <w:spacing w:line="240" w:lineRule="exact"/>
              <w:jc w:val="left"/>
              <w:rPr>
                <w:color w:val="000000"/>
                <w:kern w:val="0"/>
                <w:szCs w:val="21"/>
              </w:rPr>
            </w:pPr>
          </w:p>
        </w:tc>
        <w:tc>
          <w:tcPr>
            <w:tcW w:w="827" w:type="dxa"/>
            <w:vMerge w:val="continue"/>
            <w:tcBorders>
              <w:bottom w:val="single" w:color="auto" w:sz="12" w:space="0"/>
            </w:tcBorders>
            <w:noWrap w:val="0"/>
            <w:vAlign w:val="center"/>
          </w:tcPr>
          <w:p>
            <w:pPr>
              <w:widowControl/>
              <w:spacing w:line="240" w:lineRule="exact"/>
              <w:jc w:val="left"/>
              <w:rPr>
                <w:color w:val="000000"/>
                <w:kern w:val="0"/>
                <w:szCs w:val="21"/>
              </w:rPr>
            </w:pPr>
          </w:p>
        </w:tc>
        <w:tc>
          <w:tcPr>
            <w:tcW w:w="755"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794"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1140"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r>
    </w:tbl>
    <w:p>
      <w:pPr>
        <w:spacing w:line="620" w:lineRule="exact"/>
        <w:ind w:left="1917" w:leftChars="760" w:hanging="321" w:hangingChars="100"/>
        <w:jc w:val="left"/>
        <w:rPr>
          <w:rFonts w:ascii="宋体" w:hAnsi="宋体" w:eastAsia="方正仿宋简体"/>
          <w:b/>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简体">
    <w:panose1 w:val="03000509000000000000"/>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panose1 w:val="02010601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Wingdings 2">
    <w:panose1 w:val="05020102010507070707"/>
    <w:charset w:val="00"/>
    <w:family w:val="auto"/>
    <w:pitch w:val="default"/>
    <w:sig w:usb0="00000000" w:usb1="00000000" w:usb2="00000000" w:usb3="00000000" w:csb0="8000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87FA5F"/>
    <w:multiLevelType w:val="singleLevel"/>
    <w:tmpl w:val="1387FA5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D0141C"/>
    <w:rsid w:val="00564242"/>
    <w:rsid w:val="01D0141C"/>
    <w:rsid w:val="05642592"/>
    <w:rsid w:val="08673210"/>
    <w:rsid w:val="0A0454F0"/>
    <w:rsid w:val="10E131DC"/>
    <w:rsid w:val="13E84A59"/>
    <w:rsid w:val="16B15AF3"/>
    <w:rsid w:val="1B194BD7"/>
    <w:rsid w:val="1D0E58A5"/>
    <w:rsid w:val="1D1402EB"/>
    <w:rsid w:val="1E8D6450"/>
    <w:rsid w:val="21FE31DD"/>
    <w:rsid w:val="267A7439"/>
    <w:rsid w:val="279D3003"/>
    <w:rsid w:val="2BF3404C"/>
    <w:rsid w:val="2D6052AA"/>
    <w:rsid w:val="2DFD6F76"/>
    <w:rsid w:val="2E0F74A5"/>
    <w:rsid w:val="2F3D691D"/>
    <w:rsid w:val="33B97917"/>
    <w:rsid w:val="35E613F1"/>
    <w:rsid w:val="36733976"/>
    <w:rsid w:val="3ACF67B6"/>
    <w:rsid w:val="3F8C38F9"/>
    <w:rsid w:val="400A1F17"/>
    <w:rsid w:val="4104106F"/>
    <w:rsid w:val="43150802"/>
    <w:rsid w:val="441804B7"/>
    <w:rsid w:val="44F1393C"/>
    <w:rsid w:val="499C5748"/>
    <w:rsid w:val="4BBD6569"/>
    <w:rsid w:val="4C68525E"/>
    <w:rsid w:val="4D077860"/>
    <w:rsid w:val="4D185AB2"/>
    <w:rsid w:val="4F8E7108"/>
    <w:rsid w:val="54637A01"/>
    <w:rsid w:val="554B724E"/>
    <w:rsid w:val="588E08B7"/>
    <w:rsid w:val="5ADE6364"/>
    <w:rsid w:val="5BC04227"/>
    <w:rsid w:val="5D615D92"/>
    <w:rsid w:val="62777258"/>
    <w:rsid w:val="68847F42"/>
    <w:rsid w:val="69156A03"/>
    <w:rsid w:val="6ECF45C0"/>
    <w:rsid w:val="712534FE"/>
    <w:rsid w:val="735E51BC"/>
    <w:rsid w:val="753D4EE6"/>
    <w:rsid w:val="7AF96966"/>
    <w:rsid w:val="7C1A5447"/>
    <w:rsid w:val="7FF87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pPr>
      <w:spacing w:after="120"/>
    </w:pPr>
    <w:rPr>
      <w:rFonts w:ascii="Calibri" w:hAnsi="Calibri" w:cs="宋体"/>
      <w:kern w:val="0"/>
      <w:sz w:val="20"/>
      <w:szCs w:val="21"/>
    </w:rPr>
  </w:style>
  <w:style w:type="character" w:customStyle="1" w:styleId="6">
    <w:name w:val="font11"/>
    <w:basedOn w:val="5"/>
    <w:qFormat/>
    <w:uiPriority w:val="0"/>
    <w:rPr>
      <w:rFonts w:hint="eastAsia" w:ascii="宋体" w:hAnsi="宋体" w:eastAsia="宋体" w:cs="宋体"/>
      <w:color w:val="000000"/>
      <w:sz w:val="21"/>
      <w:szCs w:val="21"/>
      <w:u w:val="none"/>
    </w:rPr>
  </w:style>
  <w:style w:type="character" w:customStyle="1" w:styleId="7">
    <w:name w:val="font21"/>
    <w:basedOn w:val="5"/>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2022-08-05T03:51:00Z</dcterms:created>
  <dc:creator>Sjj-2208-hl</dc:creator>
  <cp:lastModifiedBy>Acer</cp:lastModifiedBy>
  <cp:lastPrinted>2022-09-05T01:24:00Z</cp:lastPrinted>
  <dcterms:modified xsi:type="dcterms:W3CDTF">2023-11-06T01:21:03Z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7C87FD3810C145CCBE336179050552CA</vt:lpwstr>
  </property>
</Properties>
</file>